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730" w:rsidRPr="00295730" w:rsidRDefault="00295730" w:rsidP="004E18C3">
      <w:pPr>
        <w:spacing w:after="0" w:line="240" w:lineRule="auto"/>
        <w:outlineLvl w:val="0"/>
        <w:rPr>
          <w:rFonts w:ascii="Times New Roman" w:eastAsia="Times New Roman" w:hAnsi="Times New Roman" w:cs="Times New Roman"/>
          <w:b/>
          <w:bCs/>
          <w:kern w:val="36"/>
          <w:sz w:val="48"/>
          <w:szCs w:val="48"/>
        </w:rPr>
      </w:pPr>
      <w:r w:rsidRPr="00295730">
        <w:rPr>
          <w:rFonts w:ascii="Times New Roman" w:eastAsia="Times New Roman" w:hAnsi="Times New Roman" w:cs="Times New Roman"/>
          <w:b/>
          <w:bCs/>
          <w:kern w:val="36"/>
          <w:sz w:val="48"/>
          <w:szCs w:val="48"/>
        </w:rPr>
        <w:t>2015 Toxicity to Pollinators of Insecticides Used in Greenhouse, Nursery, Landscapes</w:t>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Vera Krischik</w:t>
      </w:r>
    </w:p>
    <w:p w:rsidR="004E18C3"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The conservation of beneficial insects, that includes bees, insect predators, parasitic wasps, and butterflies, is an essential part of Integrated Pest management (IPM) programs. IPM promotes multiple tactics to manage pests and to suppress the population size below levels that will damage the plant. IPM tactics include cultural control, sanitation, biological control, using insecticides friendly to beneficial insects, and finally the use of conventional insecticides. IPM recognizes that the few remaining pest insects will support beneficial predators and parasitic wasps. </w:t>
      </w:r>
    </w:p>
    <w:p w:rsidR="004E18C3" w:rsidRDefault="004E18C3" w:rsidP="004E18C3">
      <w:pPr>
        <w:spacing w:after="0" w:line="240" w:lineRule="auto"/>
        <w:rPr>
          <w:rFonts w:ascii="Times New Roman" w:eastAsia="Times New Roman" w:hAnsi="Times New Roman" w:cs="Times New Roman"/>
          <w:sz w:val="24"/>
          <w:szCs w:val="24"/>
        </w:rPr>
      </w:pP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When scouting plants for pest insects, check for populations of both pest and beneficial insects, such as lady beetles and bees. If beneficial insects are present, wait to spray insecticides to see if the beneficial insects control the pest insects or use specific insecticides that only target the pest insect. Do not apply insecticides while plants are in full bloom. If possible avoid beneficial insects by spraying leaves in the evening when bees and lady beetles are not foraging.</w:t>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Neonicotinoid systemic insecticides have been implicated in the decline of bees and other beneficial insects. The European Union banned the use of neonicotinoid insecticides from 2014-2016 on crops and plants that bee’s visit. The concern was the residue in pollen and nectar and their negative effects on survival and foraging behavior of bees.</w:t>
      </w:r>
    </w:p>
    <w:p w:rsidR="004E18C3" w:rsidRDefault="004E18C3" w:rsidP="004E18C3">
      <w:pPr>
        <w:spacing w:after="0" w:line="240" w:lineRule="auto"/>
        <w:rPr>
          <w:rFonts w:ascii="Times New Roman" w:eastAsia="Times New Roman" w:hAnsi="Times New Roman" w:cs="Times New Roman"/>
          <w:sz w:val="24"/>
          <w:szCs w:val="24"/>
        </w:rPr>
      </w:pP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There are few systemic insecticides, while there are many systemic herbicides and fungicides. Systemic, neonicotinoid insecticides are the most widely used insecticides in the world, due to their low mammalian toxicity and the ability of the insecticide to move systemically from soil into the entire plant, including pollen and nectar. Application methods include seed treatments, foliar sprays, soil and trunk drenches, and trunk-injections. Flowers that open after being sprayed with contact insecticides do not contain insecticide residue, while toxicity to pests lasts for 1-3 weeks. However, flowers that open after systemic insecticides are sprayed can contain the insecticide residue for many months in both the leaves and pollen and nectar.</w:t>
      </w:r>
    </w:p>
    <w:p w:rsidR="004E18C3" w:rsidRDefault="004E18C3" w:rsidP="004E18C3">
      <w:pPr>
        <w:spacing w:after="0" w:line="240" w:lineRule="auto"/>
        <w:rPr>
          <w:rFonts w:ascii="Times New Roman" w:eastAsia="Times New Roman" w:hAnsi="Times New Roman" w:cs="Times New Roman"/>
          <w:sz w:val="24"/>
          <w:szCs w:val="24"/>
        </w:rPr>
      </w:pP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There are six neonicotinoid active ingredients, imidacloprid, dinotefuran, thiamethoxam, and clothianidin, of which acetamiprid and thiacloprid are the least toxic to bees. There is another systemic insecticide, fipronil that is used around structures that is also toxic to bees. You will find these active ingredients listed on the insecticide label in small print. The neonicotinyl class of insecticides is highly toxic to bees and kills bees at around 180 ppb in flower nectar or pollen. However, sublethal doses of neonicotinyl insecticide starting around 10 ppb, causes bees to lose navigation and foraging skills. The longevity and amount of the neonicotinoid in the pollen and nectar will depend on application method, concentration applied, and binding capacity of the soil.</w:t>
      </w:r>
    </w:p>
    <w:p w:rsidR="004E18C3" w:rsidRDefault="004E18C3" w:rsidP="004E18C3">
      <w:pPr>
        <w:spacing w:after="0" w:line="240" w:lineRule="auto"/>
        <w:rPr>
          <w:rFonts w:ascii="Times New Roman" w:eastAsia="Times New Roman" w:hAnsi="Times New Roman" w:cs="Times New Roman"/>
          <w:sz w:val="24"/>
          <w:szCs w:val="24"/>
        </w:rPr>
      </w:pP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The use of neonicotinyl insecticides as trunk injections and soil drenches for ash trees is important to slow the spread of the exotic, invasive Emerald Ash Borer and other invasive pests. As bees do not collect ash pollen in quantities, the risk to bee pollinators is low. In contrast, the use of neonicotinyl insecticides on flowering garden plants, shrubs and trees, including linden </w:t>
      </w:r>
      <w:r w:rsidRPr="00295730">
        <w:rPr>
          <w:rFonts w:ascii="Times New Roman" w:eastAsia="Times New Roman" w:hAnsi="Times New Roman" w:cs="Times New Roman"/>
          <w:sz w:val="24"/>
          <w:szCs w:val="24"/>
        </w:rPr>
        <w:lastRenderedPageBreak/>
        <w:t>and basswood trees can kill bees and beneficial insects that utilize the flowers for pollen and nectar. It is wise to avoid using systemic neonicotinyl insecticides on flowering plants that bees visit regularly. Instead use spot treatments of contact insecticides.</w:t>
      </w:r>
    </w:p>
    <w:p w:rsidR="00295730" w:rsidRPr="00295730" w:rsidRDefault="00295730" w:rsidP="004E18C3">
      <w:pPr>
        <w:spacing w:after="0" w:line="240" w:lineRule="auto"/>
        <w:outlineLvl w:val="1"/>
        <w:rPr>
          <w:rFonts w:ascii="Times New Roman" w:eastAsia="Times New Roman" w:hAnsi="Times New Roman" w:cs="Times New Roman"/>
          <w:b/>
          <w:bCs/>
          <w:sz w:val="36"/>
          <w:szCs w:val="36"/>
        </w:rPr>
      </w:pPr>
      <w:r w:rsidRPr="00295730">
        <w:rPr>
          <w:rFonts w:ascii="Times New Roman" w:eastAsia="Times New Roman" w:hAnsi="Times New Roman" w:cs="Times New Roman"/>
          <w:b/>
          <w:bCs/>
          <w:sz w:val="36"/>
          <w:szCs w:val="36"/>
        </w:rPr>
        <w:t>New EPA labeling for neonicotinoid insecticides as of March 2014</w:t>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Application restrictions exist for this product because of risk to bees and other insect pollinators. Follow application restrictions found in the directions for use to protect pollinators.</w:t>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noProof/>
          <w:sz w:val="24"/>
          <w:szCs w:val="24"/>
        </w:rPr>
        <w:drawing>
          <wp:inline distT="0" distB="0" distL="0" distR="0" wp14:anchorId="16490B8F" wp14:editId="0B4D27C5">
            <wp:extent cx="952500" cy="714375"/>
            <wp:effectExtent l="0" t="0" r="0" b="9525"/>
            <wp:docPr id="1" name="Picture 1" descr="http://www.extension.umn.edu/garden/plant-nursery-health/toxicity-pollinators-insecticides/img/epa-be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tension.umn.edu/garden/plant-nursery-health/toxicity-pollinators-insecticides/img/epa-bee-ic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The new EPA bee hazard icon in the directions for use on insecticide labels EPA has added new language to neonicotinyl insecticide products (imidacloprid, dinotefuran, thiamethoxam, and clothianidin) to protect bees and other insect pollinators. The bee icon above signals that the pesticide has potential to harm bees. The language in the new bee advisory box explains application restrictions to protect bees. </w:t>
      </w:r>
    </w:p>
    <w:p w:rsidR="00295730" w:rsidRPr="00295730" w:rsidRDefault="00295730" w:rsidP="004E18C3">
      <w:pPr>
        <w:spacing w:after="0" w:line="240" w:lineRule="auto"/>
        <w:outlineLvl w:val="2"/>
        <w:rPr>
          <w:rFonts w:ascii="Times New Roman" w:eastAsia="Times New Roman" w:hAnsi="Times New Roman" w:cs="Times New Roman"/>
          <w:b/>
          <w:bCs/>
          <w:sz w:val="27"/>
          <w:szCs w:val="27"/>
        </w:rPr>
      </w:pPr>
      <w:r w:rsidRPr="00295730">
        <w:rPr>
          <w:rFonts w:ascii="Times New Roman" w:eastAsia="Times New Roman" w:hAnsi="Times New Roman" w:cs="Times New Roman"/>
          <w:b/>
          <w:bCs/>
          <w:sz w:val="27"/>
          <w:szCs w:val="27"/>
        </w:rPr>
        <w:t>Bee and other insect pollinators can be exposed to the product from:</w:t>
      </w:r>
    </w:p>
    <w:p w:rsidR="00295730" w:rsidRPr="00295730" w:rsidRDefault="00295730" w:rsidP="004E18C3">
      <w:pPr>
        <w:numPr>
          <w:ilvl w:val="0"/>
          <w:numId w:val="1"/>
        </w:num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Direct contact during foliar application or contact with residues on plant surfaces after foliar application. </w:t>
      </w:r>
    </w:p>
    <w:p w:rsidR="00295730" w:rsidRPr="00295730" w:rsidRDefault="00295730" w:rsidP="004E18C3">
      <w:pPr>
        <w:numPr>
          <w:ilvl w:val="0"/>
          <w:numId w:val="1"/>
        </w:num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Ingestion of residues in nectar and pollen when the pesticide is applied as a seed treatment, soil, tree injection, as well as foliar application. </w:t>
      </w:r>
    </w:p>
    <w:p w:rsidR="00295730" w:rsidRPr="00295730" w:rsidRDefault="00295730" w:rsidP="004E18C3">
      <w:pPr>
        <w:spacing w:after="0" w:line="240" w:lineRule="auto"/>
        <w:outlineLvl w:val="2"/>
        <w:rPr>
          <w:rFonts w:ascii="Times New Roman" w:eastAsia="Times New Roman" w:hAnsi="Times New Roman" w:cs="Times New Roman"/>
          <w:b/>
          <w:bCs/>
          <w:sz w:val="27"/>
          <w:szCs w:val="27"/>
        </w:rPr>
      </w:pPr>
      <w:r w:rsidRPr="00295730">
        <w:rPr>
          <w:rFonts w:ascii="Times New Roman" w:eastAsia="Times New Roman" w:hAnsi="Times New Roman" w:cs="Times New Roman"/>
          <w:b/>
          <w:bCs/>
          <w:sz w:val="27"/>
          <w:szCs w:val="27"/>
        </w:rPr>
        <w:t xml:space="preserve">When using this product take steps to: </w:t>
      </w:r>
    </w:p>
    <w:p w:rsidR="00295730" w:rsidRPr="00295730" w:rsidRDefault="00295730" w:rsidP="004E18C3">
      <w:pPr>
        <w:numPr>
          <w:ilvl w:val="0"/>
          <w:numId w:val="2"/>
        </w:num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Minimize exposure when bees are foraging on pollinator attractive plants around the application site. </w:t>
      </w:r>
    </w:p>
    <w:p w:rsidR="00295730" w:rsidRPr="00295730" w:rsidRDefault="00295730" w:rsidP="004E18C3">
      <w:pPr>
        <w:numPr>
          <w:ilvl w:val="0"/>
          <w:numId w:val="2"/>
        </w:num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Minimize drift of this product onto beehives or to off-site pollinator attractive habitat. Drift of this product onto beehives can result in bee kills. Bee kills should be reported to </w:t>
      </w:r>
      <w:hyperlink r:id="rId9" w:history="1">
        <w:r w:rsidRPr="00295730">
          <w:rPr>
            <w:rFonts w:ascii="Times New Roman" w:eastAsia="Times New Roman" w:hAnsi="Times New Roman" w:cs="Times New Roman"/>
            <w:color w:val="0000FF"/>
            <w:sz w:val="24"/>
            <w:szCs w:val="24"/>
            <w:u w:val="single"/>
          </w:rPr>
          <w:t>Minnesota Department of Agriculture</w:t>
        </w:r>
      </w:hyperlink>
      <w:r w:rsidRPr="00295730">
        <w:rPr>
          <w:rFonts w:ascii="Times New Roman" w:eastAsia="Times New Roman" w:hAnsi="Times New Roman" w:cs="Times New Roman"/>
          <w:sz w:val="24"/>
          <w:szCs w:val="24"/>
        </w:rPr>
        <w:t xml:space="preserve"> (type bee kill into search), </w:t>
      </w:r>
      <w:hyperlink r:id="rId10" w:history="1">
        <w:r w:rsidRPr="00295730">
          <w:rPr>
            <w:rFonts w:ascii="Times New Roman" w:eastAsia="Times New Roman" w:hAnsi="Times New Roman" w:cs="Times New Roman"/>
            <w:color w:val="0000FF"/>
            <w:sz w:val="24"/>
            <w:szCs w:val="24"/>
            <w:u w:val="single"/>
          </w:rPr>
          <w:t>National Pesticide Information Center</w:t>
        </w:r>
      </w:hyperlink>
      <w:r w:rsidRPr="00295730">
        <w:rPr>
          <w:rFonts w:ascii="Times New Roman" w:eastAsia="Times New Roman" w:hAnsi="Times New Roman" w:cs="Times New Roman"/>
          <w:sz w:val="24"/>
          <w:szCs w:val="24"/>
        </w:rPr>
        <w:t xml:space="preserve">, and the </w:t>
      </w:r>
      <w:hyperlink r:id="rId11" w:history="1">
        <w:r w:rsidRPr="00295730">
          <w:rPr>
            <w:rFonts w:ascii="Times New Roman" w:eastAsia="Times New Roman" w:hAnsi="Times New Roman" w:cs="Times New Roman"/>
            <w:color w:val="0000FF"/>
            <w:sz w:val="24"/>
            <w:szCs w:val="24"/>
            <w:u w:val="single"/>
          </w:rPr>
          <w:t>EPA</w:t>
        </w:r>
      </w:hyperlink>
      <w:r w:rsidRPr="00295730">
        <w:rPr>
          <w:rFonts w:ascii="Times New Roman" w:eastAsia="Times New Roman" w:hAnsi="Times New Roman" w:cs="Times New Roman"/>
          <w:sz w:val="24"/>
          <w:szCs w:val="24"/>
        </w:rPr>
        <w:t>.</w:t>
      </w:r>
    </w:p>
    <w:p w:rsidR="00295730" w:rsidRPr="00295730" w:rsidRDefault="00295730" w:rsidP="004E18C3">
      <w:pPr>
        <w:spacing w:after="0" w:line="240" w:lineRule="auto"/>
        <w:outlineLvl w:val="2"/>
        <w:rPr>
          <w:rFonts w:ascii="Times New Roman" w:eastAsia="Times New Roman" w:hAnsi="Times New Roman" w:cs="Times New Roman"/>
          <w:b/>
          <w:bCs/>
          <w:sz w:val="27"/>
          <w:szCs w:val="27"/>
        </w:rPr>
      </w:pPr>
      <w:r w:rsidRPr="00295730">
        <w:rPr>
          <w:rFonts w:ascii="Times New Roman" w:eastAsia="Times New Roman" w:hAnsi="Times New Roman" w:cs="Times New Roman"/>
          <w:b/>
          <w:bCs/>
          <w:sz w:val="27"/>
          <w:szCs w:val="27"/>
        </w:rPr>
        <w:t>Nursery and greenhouse growers have alternatives to systemic insecticides</w:t>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The EPA has been registering selective, insecticides that conserve beneficial insects and pollinators:</w:t>
      </w:r>
    </w:p>
    <w:p w:rsidR="00295730" w:rsidRPr="00295730" w:rsidRDefault="00295730" w:rsidP="004E18C3">
      <w:pPr>
        <w:numPr>
          <w:ilvl w:val="0"/>
          <w:numId w:val="3"/>
        </w:num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S-kinoprene (Enstar II), juvenile hormone mimic</w:t>
      </w:r>
    </w:p>
    <w:p w:rsidR="00295730" w:rsidRPr="00295730" w:rsidRDefault="00295730" w:rsidP="004E18C3">
      <w:pPr>
        <w:numPr>
          <w:ilvl w:val="0"/>
          <w:numId w:val="3"/>
        </w:num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Miticides (Akari, Hexygon)</w:t>
      </w:r>
    </w:p>
    <w:p w:rsidR="00295730" w:rsidRPr="00295730" w:rsidRDefault="00295730" w:rsidP="004E18C3">
      <w:pPr>
        <w:numPr>
          <w:ilvl w:val="0"/>
          <w:numId w:val="3"/>
        </w:num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Chlorantraniliprole (Acelepryn), grubs in soil or most landscape pests </w:t>
      </w:r>
    </w:p>
    <w:p w:rsidR="00295730" w:rsidRPr="00295730" w:rsidRDefault="00295730" w:rsidP="004E18C3">
      <w:pPr>
        <w:spacing w:after="0" w:line="240" w:lineRule="auto"/>
        <w:outlineLvl w:val="2"/>
        <w:rPr>
          <w:rFonts w:ascii="Times New Roman" w:eastAsia="Times New Roman" w:hAnsi="Times New Roman" w:cs="Times New Roman"/>
          <w:b/>
          <w:bCs/>
          <w:sz w:val="27"/>
          <w:szCs w:val="27"/>
        </w:rPr>
      </w:pPr>
      <w:r w:rsidRPr="00295730">
        <w:rPr>
          <w:rFonts w:ascii="Times New Roman" w:eastAsia="Times New Roman" w:hAnsi="Times New Roman" w:cs="Times New Roman"/>
          <w:b/>
          <w:bCs/>
          <w:sz w:val="27"/>
          <w:szCs w:val="27"/>
        </w:rPr>
        <w:t>New Minnesota bee labeling laws July 1, 2014</w:t>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The following list of potential systemic insecticides affected by the law, the use of which (depending on their product labels) may render the labelling of plants as non-compliant with the law if residues are detected in the plant material, include: </w:t>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On the list, but not registered for use on nursery, greenhouse, and landscape by the EPA (24 insecticides) are: aldicarb, bendiocarb, demeton-S-methyl, ethoprop, dichlorvos, dicrotophos (cotton only), fensulfothion (field crops), fenthion (mosquitoes in Florida), fipronil, methamidophos, methomyl, methyl bromide, mevinphos, oxydemeton-methyl, phosphamidon, sulfoxaflor, terbufos, tralomethrin (roach), carbofuran (U.S. cancelled), dimethoate (U.S. cancelled), disulfoton (U.S. cancelled), mexacarbate (U.S. cancelled), phorate (U.S. cancelled), ronnel (U.S. cancelled). </w:t>
      </w:r>
    </w:p>
    <w:p w:rsidR="00295730" w:rsidRPr="00295730" w:rsidRDefault="00295730" w:rsidP="004E18C3">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lastRenderedPageBreak/>
        <w:t>Here is the list of systemic insecticides identified by the law as not approved on bee-friendly-labeled plants. These insecticides are registered for use on nursery, greenhouse, and landscape by the EPA (18 insecticides): abamectin, acephate, acetamiprid, avermectin, bifenazate, carbaryl, chlorfenapyr, clothianidin, cyantraniliprole, dinotefuran, emamectin benzoate, imidacloprid, milbemectin, oxamyl, pymetrozine, spinosad, thiacloprid, thiamethoxam.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1"/>
        <w:gridCol w:w="1999"/>
        <w:gridCol w:w="2431"/>
        <w:gridCol w:w="976"/>
        <w:gridCol w:w="563"/>
        <w:gridCol w:w="701"/>
        <w:gridCol w:w="829"/>
      </w:tblGrid>
      <w:tr w:rsidR="00295730" w:rsidRPr="00295730" w:rsidTr="00295730">
        <w:trPr>
          <w:tblHeader/>
          <w:tblCellSpacing w:w="15" w:type="dxa"/>
        </w:trPr>
        <w:tc>
          <w:tcPr>
            <w:tcW w:w="0" w:type="auto"/>
            <w:gridSpan w:val="7"/>
            <w:vAlign w:val="center"/>
            <w:hideMark/>
          </w:tcPr>
          <w:p w:rsidR="00295730" w:rsidRPr="00295730" w:rsidRDefault="00295730" w:rsidP="00295730">
            <w:pPr>
              <w:spacing w:before="100" w:beforeAutospacing="1" w:after="100" w:afterAutospacing="1"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Toxicity to Pollinators of Insecticides Used in Greenhouse, Nursery, and Landscapes</w:t>
            </w:r>
          </w:p>
        </w:tc>
      </w:tr>
      <w:tr w:rsidR="00295730" w:rsidRPr="00295730" w:rsidTr="00295730">
        <w:trPr>
          <w:tblHeader/>
          <w:tblCellSpacing w:w="15" w:type="dxa"/>
        </w:trPr>
        <w:tc>
          <w:tcPr>
            <w:tcW w:w="0" w:type="auto"/>
            <w:gridSpan w:val="7"/>
            <w:vAlign w:val="center"/>
            <w:hideMark/>
          </w:tcPr>
          <w:p w:rsidR="00295730" w:rsidRPr="00295730" w:rsidRDefault="00295730" w:rsidP="00295730">
            <w:pPr>
              <w:spacing w:before="100" w:beforeAutospacing="1" w:after="100" w:afterAutospacing="1"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Bolded are insecticides not permitted by the MDA on bee-friendly-labeled plants. Systemic neonicotinoid insecticides (imidacloprid, clothianidin, dinotefuran, and thiamethoxam) </w:t>
            </w:r>
            <w:r w:rsidR="00AA17A9">
              <w:rPr>
                <w:rFonts w:ascii="Times New Roman" w:eastAsia="Times New Roman" w:hAnsi="Times New Roman" w:cs="Times New Roman"/>
                <w:sz w:val="24"/>
                <w:szCs w:val="24"/>
              </w:rPr>
              <w:t xml:space="preserve">and fipronil </w:t>
            </w:r>
            <w:r w:rsidRPr="00295730">
              <w:rPr>
                <w:rFonts w:ascii="Times New Roman" w:eastAsia="Times New Roman" w:hAnsi="Times New Roman" w:cs="Times New Roman"/>
                <w:sz w:val="24"/>
                <w:szCs w:val="24"/>
              </w:rPr>
              <w:t xml:space="preserve">are translocated to pollen and nectar for some time after application. Contact insecticides should not be translocated to pollen and nectar and should not be present in new flowers. Many contact insecticides are toxic to bees and should not be sprayed directly on foraging bees or flowers. In greenhouse structures if you use contact insecticides during cultivation; the residue should be minimal after 5 weeks. </w:t>
            </w:r>
          </w:p>
        </w:tc>
      </w:tr>
      <w:tr w:rsidR="00295730" w:rsidRPr="00295730" w:rsidTr="00295730">
        <w:trPr>
          <w:tblHeader/>
          <w:tblCellSpacing w:w="15" w:type="dxa"/>
        </w:trPr>
        <w:tc>
          <w:tcPr>
            <w:tcW w:w="1995" w:type="dxa"/>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Chemical class</w:t>
            </w:r>
          </w:p>
        </w:tc>
        <w:tc>
          <w:tcPr>
            <w:tcW w:w="0" w:type="auto"/>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Common name</w:t>
            </w:r>
          </w:p>
        </w:tc>
        <w:tc>
          <w:tcPr>
            <w:tcW w:w="2850" w:type="dxa"/>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Examples of trade names</w:t>
            </w:r>
          </w:p>
        </w:tc>
        <w:tc>
          <w:tcPr>
            <w:tcW w:w="3510" w:type="dxa"/>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LD 50*</w:t>
            </w:r>
          </w:p>
        </w:tc>
        <w:tc>
          <w:tcPr>
            <w:tcW w:w="3510" w:type="dxa"/>
            <w:gridSpan w:val="3"/>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Toxicity to honeybees**</w:t>
            </w:r>
          </w:p>
        </w:tc>
      </w:tr>
      <w:tr w:rsidR="00295730" w:rsidRPr="00295730" w:rsidTr="00295730">
        <w:trPr>
          <w:tblHeader/>
          <w:tblCellSpacing w:w="15" w:type="dxa"/>
        </w:trPr>
        <w:tc>
          <w:tcPr>
            <w:tcW w:w="0" w:type="auto"/>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p>
        </w:tc>
        <w:tc>
          <w:tcPr>
            <w:tcW w:w="0" w:type="auto"/>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p>
        </w:tc>
        <w:tc>
          <w:tcPr>
            <w:tcW w:w="0" w:type="auto"/>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p>
        </w:tc>
        <w:tc>
          <w:tcPr>
            <w:tcW w:w="0" w:type="auto"/>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ug/bee</w:t>
            </w:r>
          </w:p>
        </w:tc>
        <w:tc>
          <w:tcPr>
            <w:tcW w:w="1245" w:type="dxa"/>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Non</w:t>
            </w:r>
          </w:p>
        </w:tc>
        <w:tc>
          <w:tcPr>
            <w:tcW w:w="1245" w:type="dxa"/>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Mod Toxic</w:t>
            </w:r>
          </w:p>
        </w:tc>
        <w:tc>
          <w:tcPr>
            <w:tcW w:w="1245" w:type="dxa"/>
            <w:vAlign w:val="center"/>
            <w:hideMark/>
          </w:tcPr>
          <w:p w:rsidR="00295730" w:rsidRPr="00295730" w:rsidRDefault="00295730" w:rsidP="00295730">
            <w:pPr>
              <w:spacing w:after="0" w:line="240" w:lineRule="auto"/>
              <w:jc w:val="center"/>
              <w:rPr>
                <w:rFonts w:ascii="Times New Roman" w:eastAsia="Times New Roman" w:hAnsi="Times New Roman" w:cs="Times New Roman"/>
                <w:b/>
                <w:bCs/>
                <w:sz w:val="24"/>
                <w:szCs w:val="24"/>
              </w:rPr>
            </w:pPr>
            <w:r w:rsidRPr="00295730">
              <w:rPr>
                <w:rFonts w:ascii="Times New Roman" w:eastAsia="Times New Roman" w:hAnsi="Times New Roman" w:cs="Times New Roman"/>
                <w:b/>
                <w:bCs/>
                <w:sz w:val="24"/>
                <w:szCs w:val="24"/>
              </w:rPr>
              <w:t>Highly</w:t>
            </w: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Carbamates</w:t>
            </w:r>
          </w:p>
        </w:tc>
        <w:tc>
          <w:tcPr>
            <w:tcW w:w="1245" w:type="dxa"/>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carbaryl</w:t>
            </w:r>
            <w:r w:rsidRPr="00295730">
              <w:rPr>
                <w:rFonts w:ascii="Times New Roman" w:eastAsia="Times New Roman" w:hAnsi="Times New Roman" w:cs="Times New Roman"/>
                <w:sz w:val="24"/>
                <w:szCs w:val="24"/>
              </w:rPr>
              <w:br/>
              <w:t>methomyl</w:t>
            </w:r>
          </w:p>
        </w:tc>
        <w:tc>
          <w:tcPr>
            <w:tcW w:w="1245" w:type="dxa"/>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Sevin,</w:t>
            </w:r>
            <w:r w:rsidRPr="00295730">
              <w:rPr>
                <w:rFonts w:ascii="Times New Roman" w:eastAsia="Times New Roman" w:hAnsi="Times New Roman" w:cs="Times New Roman"/>
                <w:sz w:val="24"/>
                <w:szCs w:val="24"/>
              </w:rPr>
              <w:br/>
              <w:t>Lannate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0.014</w:t>
            </w:r>
            <w:r w:rsidRPr="00295730">
              <w:rPr>
                <w:rFonts w:ascii="Times New Roman" w:eastAsia="Times New Roman" w:hAnsi="Times New Roman" w:cs="Times New Roman"/>
                <w:sz w:val="24"/>
                <w:szCs w:val="24"/>
              </w:rPr>
              <w:br/>
              <w:t>0.816</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p>
        </w:tc>
      </w:tr>
      <w:tr w:rsidR="00295730" w:rsidRPr="00295730" w:rsidTr="00295730">
        <w:trPr>
          <w:tblCellSpacing w:w="15" w:type="dxa"/>
        </w:trPr>
        <w:tc>
          <w:tcPr>
            <w:tcW w:w="0" w:type="auto"/>
            <w:vMerge w:val="restart"/>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Neonicotinoids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 xml:space="preserve">imidacloprid (I) </w:t>
            </w:r>
            <w:r w:rsidRPr="00295730">
              <w:rPr>
                <w:rFonts w:ascii="Times New Roman" w:eastAsia="Times New Roman" w:hAnsi="Times New Roman" w:cs="Times New Roman"/>
                <w:b/>
                <w:bCs/>
                <w:sz w:val="24"/>
                <w:szCs w:val="24"/>
              </w:rPr>
              <w:br/>
              <w:t>thiamethoxam (T)</w:t>
            </w:r>
            <w:r w:rsidRPr="00295730">
              <w:rPr>
                <w:rFonts w:ascii="Times New Roman" w:eastAsia="Times New Roman" w:hAnsi="Times New Roman" w:cs="Times New Roman"/>
                <w:b/>
                <w:bCs/>
                <w:sz w:val="24"/>
                <w:szCs w:val="24"/>
              </w:rPr>
              <w:br/>
              <w:t xml:space="preserve">clothianidin (C) </w:t>
            </w:r>
            <w:r w:rsidRPr="00295730">
              <w:rPr>
                <w:rFonts w:ascii="Times New Roman" w:eastAsia="Times New Roman" w:hAnsi="Times New Roman" w:cs="Times New Roman"/>
                <w:b/>
                <w:bCs/>
                <w:sz w:val="24"/>
                <w:szCs w:val="24"/>
              </w:rPr>
              <w:br/>
              <w:t xml:space="preserve">dinotefuran (D) </w:t>
            </w:r>
            <w:r w:rsidRPr="00295730">
              <w:rPr>
                <w:rFonts w:ascii="Times New Roman" w:eastAsia="Times New Roman" w:hAnsi="Times New Roman" w:cs="Times New Roman"/>
                <w:b/>
                <w:bCs/>
                <w:sz w:val="24"/>
                <w:szCs w:val="24"/>
              </w:rPr>
              <w:br/>
            </w:r>
            <w:r w:rsidRPr="00295730">
              <w:rPr>
                <w:rFonts w:ascii="Times New Roman" w:eastAsia="Times New Roman" w:hAnsi="Times New Roman" w:cs="Times New Roman"/>
                <w:sz w:val="24"/>
                <w:szCs w:val="24"/>
              </w:rPr>
              <w:t>imid+bifenthrin (I,B)</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Merit, Marathon</w:t>
            </w:r>
            <w:r w:rsidRPr="00295730">
              <w:rPr>
                <w:rFonts w:ascii="Times New Roman" w:eastAsia="Times New Roman" w:hAnsi="Times New Roman" w:cs="Times New Roman"/>
                <w:sz w:val="24"/>
                <w:szCs w:val="24"/>
              </w:rPr>
              <w:br/>
              <w:t>Flagship, Meridian</w:t>
            </w:r>
            <w:r w:rsidRPr="00295730">
              <w:rPr>
                <w:rFonts w:ascii="Times New Roman" w:eastAsia="Times New Roman" w:hAnsi="Times New Roman" w:cs="Times New Roman"/>
                <w:sz w:val="24"/>
                <w:szCs w:val="24"/>
              </w:rPr>
              <w:br/>
              <w:t>Arena, Aloft</w:t>
            </w:r>
            <w:r w:rsidRPr="00295730">
              <w:rPr>
                <w:rFonts w:ascii="Times New Roman" w:eastAsia="Times New Roman" w:hAnsi="Times New Roman" w:cs="Times New Roman"/>
                <w:sz w:val="24"/>
                <w:szCs w:val="24"/>
              </w:rPr>
              <w:br/>
              <w:t>Safari</w:t>
            </w:r>
            <w:r w:rsidRPr="00295730">
              <w:rPr>
                <w:rFonts w:ascii="Times New Roman" w:eastAsia="Times New Roman" w:hAnsi="Times New Roman" w:cs="Times New Roman"/>
                <w:sz w:val="24"/>
                <w:szCs w:val="24"/>
              </w:rPr>
              <w:br/>
              <w:t>Allectus</w:t>
            </w:r>
            <w:r w:rsidRPr="00295730">
              <w:rPr>
                <w:rFonts w:ascii="Times New Roman" w:eastAsia="Times New Roman" w:hAnsi="Times New Roman" w:cs="Times New Roman"/>
                <w:sz w:val="24"/>
                <w:szCs w:val="24"/>
              </w:rPr>
              <w:br/>
              <w:t>Field crops</w:t>
            </w:r>
            <w:r w:rsidRPr="00295730">
              <w:rPr>
                <w:rFonts w:ascii="Times New Roman" w:eastAsia="Times New Roman" w:hAnsi="Times New Roman" w:cs="Times New Roman"/>
                <w:sz w:val="24"/>
                <w:szCs w:val="24"/>
              </w:rPr>
              <w:br/>
              <w:t xml:space="preserve">Gaucho (I), Poncho (C), Cruiser(T) (seed treatments), Admire/Provado (I), Venom (C), Platinum (T)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0.004</w:t>
            </w:r>
            <w:r w:rsidRPr="00295730">
              <w:rPr>
                <w:rFonts w:ascii="Times New Roman" w:eastAsia="Times New Roman" w:hAnsi="Times New Roman" w:cs="Times New Roman"/>
                <w:sz w:val="24"/>
                <w:szCs w:val="24"/>
              </w:rPr>
              <w:br/>
              <w:t>0.004</w:t>
            </w:r>
            <w:r w:rsidRPr="00295730">
              <w:rPr>
                <w:rFonts w:ascii="Times New Roman" w:eastAsia="Times New Roman" w:hAnsi="Times New Roman" w:cs="Times New Roman"/>
                <w:sz w:val="24"/>
                <w:szCs w:val="24"/>
              </w:rPr>
              <w:br/>
              <w:t>0.005</w:t>
            </w:r>
            <w:r w:rsidRPr="00295730">
              <w:rPr>
                <w:rFonts w:ascii="Times New Roman" w:eastAsia="Times New Roman" w:hAnsi="Times New Roman" w:cs="Times New Roman"/>
                <w:sz w:val="24"/>
                <w:szCs w:val="24"/>
              </w:rPr>
              <w:br/>
              <w:t>0.023</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less toxic: </w:t>
            </w:r>
            <w:r w:rsidRPr="00295730">
              <w:rPr>
                <w:rFonts w:ascii="Times New Roman" w:eastAsia="Times New Roman" w:hAnsi="Times New Roman" w:cs="Times New Roman"/>
                <w:b/>
                <w:bCs/>
                <w:sz w:val="24"/>
                <w:szCs w:val="24"/>
              </w:rPr>
              <w:t xml:space="preserve">acetamiprid </w:t>
            </w:r>
            <w:r w:rsidRPr="00295730">
              <w:rPr>
                <w:rFonts w:ascii="Times New Roman" w:eastAsia="Times New Roman" w:hAnsi="Times New Roman" w:cs="Times New Roman"/>
                <w:b/>
                <w:bCs/>
                <w:sz w:val="24"/>
                <w:szCs w:val="24"/>
              </w:rPr>
              <w:br/>
              <w:t>thiacloprid</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Tristar (A), Assail (A) Calypso (T)</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14.5</w:t>
            </w:r>
            <w:r w:rsidRPr="00295730">
              <w:rPr>
                <w:rFonts w:ascii="Times New Roman" w:eastAsia="Times New Roman" w:hAnsi="Times New Roman" w:cs="Times New Roman"/>
                <w:sz w:val="24"/>
                <w:szCs w:val="24"/>
              </w:rPr>
              <w:br/>
              <w:t>27.8</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Organophosphates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acephate</w:t>
            </w:r>
            <w:r w:rsidRPr="00295730">
              <w:rPr>
                <w:rFonts w:ascii="Times New Roman" w:eastAsia="Times New Roman" w:hAnsi="Times New Roman" w:cs="Times New Roman"/>
                <w:sz w:val="24"/>
                <w:szCs w:val="24"/>
              </w:rPr>
              <w:br/>
              <w:t>chlorpyrifos</w:t>
            </w:r>
            <w:r w:rsidRPr="00295730">
              <w:rPr>
                <w:rFonts w:ascii="Times New Roman" w:eastAsia="Times New Roman" w:hAnsi="Times New Roman" w:cs="Times New Roman"/>
                <w:sz w:val="24"/>
                <w:szCs w:val="24"/>
              </w:rPr>
              <w:br/>
              <w:t>dimethoate</w:t>
            </w:r>
            <w:r w:rsidRPr="00295730">
              <w:rPr>
                <w:rFonts w:ascii="Times New Roman" w:eastAsia="Times New Roman" w:hAnsi="Times New Roman" w:cs="Times New Roman"/>
                <w:sz w:val="24"/>
                <w:szCs w:val="24"/>
              </w:rPr>
              <w:br/>
              <w:t>malathion</w:t>
            </w:r>
            <w:r w:rsidRPr="00295730">
              <w:rPr>
                <w:rFonts w:ascii="Times New Roman" w:eastAsia="Times New Roman" w:hAnsi="Times New Roman" w:cs="Times New Roman"/>
                <w:sz w:val="24"/>
                <w:szCs w:val="24"/>
              </w:rPr>
              <w:br/>
              <w:t xml:space="preserve">phosmet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Orthene</w:t>
            </w:r>
            <w:r w:rsidRPr="00295730">
              <w:rPr>
                <w:rFonts w:ascii="Times New Roman" w:eastAsia="Times New Roman" w:hAnsi="Times New Roman" w:cs="Times New Roman"/>
                <w:sz w:val="24"/>
                <w:szCs w:val="24"/>
              </w:rPr>
              <w:br/>
              <w:t>Dursban/Lorsban</w:t>
            </w:r>
            <w:r w:rsidRPr="00295730">
              <w:rPr>
                <w:rFonts w:ascii="Times New Roman" w:eastAsia="Times New Roman" w:hAnsi="Times New Roman" w:cs="Times New Roman"/>
                <w:sz w:val="24"/>
                <w:szCs w:val="24"/>
              </w:rPr>
              <w:br/>
              <w:t>Dimethoate</w:t>
            </w:r>
            <w:r w:rsidRPr="00295730">
              <w:rPr>
                <w:rFonts w:ascii="Times New Roman" w:eastAsia="Times New Roman" w:hAnsi="Times New Roman" w:cs="Times New Roman"/>
                <w:sz w:val="24"/>
                <w:szCs w:val="24"/>
              </w:rPr>
              <w:br/>
              <w:t>Malathion</w:t>
            </w:r>
            <w:r w:rsidRPr="00295730">
              <w:rPr>
                <w:rFonts w:ascii="Times New Roman" w:eastAsia="Times New Roman" w:hAnsi="Times New Roman" w:cs="Times New Roman"/>
                <w:sz w:val="24"/>
                <w:szCs w:val="24"/>
              </w:rPr>
              <w:br/>
              <w:t xml:space="preserve">Imidan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0.1082</w:t>
            </w:r>
            <w:r w:rsidRPr="00295730">
              <w:rPr>
                <w:rFonts w:ascii="Times New Roman" w:eastAsia="Times New Roman" w:hAnsi="Times New Roman" w:cs="Times New Roman"/>
                <w:sz w:val="24"/>
                <w:szCs w:val="24"/>
              </w:rPr>
              <w:br/>
              <w:t>0.06</w:t>
            </w:r>
            <w:r w:rsidRPr="00295730">
              <w:rPr>
                <w:rFonts w:ascii="Times New Roman" w:eastAsia="Times New Roman" w:hAnsi="Times New Roman" w:cs="Times New Roman"/>
                <w:sz w:val="24"/>
                <w:szCs w:val="24"/>
              </w:rPr>
              <w:br/>
              <w:t>0.038</w:t>
            </w:r>
            <w:r w:rsidRPr="00295730">
              <w:rPr>
                <w:rFonts w:ascii="Times New Roman" w:eastAsia="Times New Roman" w:hAnsi="Times New Roman" w:cs="Times New Roman"/>
                <w:sz w:val="24"/>
                <w:szCs w:val="24"/>
              </w:rPr>
              <w:br/>
              <w:t>0.16</w:t>
            </w:r>
            <w:r w:rsidRPr="00295730">
              <w:rPr>
                <w:rFonts w:ascii="Times New Roman" w:eastAsia="Times New Roman" w:hAnsi="Times New Roman" w:cs="Times New Roman"/>
                <w:sz w:val="24"/>
                <w:szCs w:val="24"/>
              </w:rPr>
              <w:br/>
              <w:t>0.1</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 xml:space="preserve">x </w:t>
            </w: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Pyrethroids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bifenthrin </w:t>
            </w:r>
            <w:r w:rsidRPr="00295730">
              <w:rPr>
                <w:rFonts w:ascii="Times New Roman" w:eastAsia="Times New Roman" w:hAnsi="Times New Roman" w:cs="Times New Roman"/>
                <w:sz w:val="24"/>
                <w:szCs w:val="24"/>
              </w:rPr>
              <w:br/>
              <w:t>cyfluthrin,</w:t>
            </w:r>
            <w:r w:rsidRPr="00295730">
              <w:rPr>
                <w:rFonts w:ascii="Times New Roman" w:eastAsia="Times New Roman" w:hAnsi="Times New Roman" w:cs="Times New Roman"/>
                <w:sz w:val="24"/>
                <w:szCs w:val="24"/>
              </w:rPr>
              <w:br/>
              <w:t xml:space="preserve">fenpropathrin </w:t>
            </w:r>
            <w:r w:rsidRPr="00295730">
              <w:rPr>
                <w:rFonts w:ascii="Times New Roman" w:eastAsia="Times New Roman" w:hAnsi="Times New Roman" w:cs="Times New Roman"/>
                <w:sz w:val="24"/>
                <w:szCs w:val="24"/>
              </w:rPr>
              <w:br/>
              <w:t>lambda-cyhalothrin</w:t>
            </w:r>
            <w:r w:rsidRPr="00295730">
              <w:rPr>
                <w:rFonts w:ascii="Times New Roman" w:eastAsia="Times New Roman" w:hAnsi="Times New Roman" w:cs="Times New Roman"/>
                <w:sz w:val="24"/>
                <w:szCs w:val="24"/>
              </w:rPr>
              <w:br/>
              <w:t>permethrin</w:t>
            </w:r>
            <w:r w:rsidRPr="00295730">
              <w:rPr>
                <w:rFonts w:ascii="Times New Roman" w:eastAsia="Times New Roman" w:hAnsi="Times New Roman" w:cs="Times New Roman"/>
                <w:sz w:val="24"/>
                <w:szCs w:val="24"/>
              </w:rPr>
              <w:br/>
            </w:r>
            <w:r w:rsidRPr="00295730">
              <w:rPr>
                <w:rFonts w:ascii="Times New Roman" w:eastAsia="Times New Roman" w:hAnsi="Times New Roman" w:cs="Times New Roman"/>
                <w:sz w:val="24"/>
                <w:szCs w:val="24"/>
              </w:rPr>
              <w:lastRenderedPageBreak/>
              <w:t xml:space="preserve">resmethrin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lastRenderedPageBreak/>
              <w:t>Attain/Talstar</w:t>
            </w:r>
            <w:r w:rsidRPr="00295730">
              <w:rPr>
                <w:rFonts w:ascii="Times New Roman" w:eastAsia="Times New Roman" w:hAnsi="Times New Roman" w:cs="Times New Roman"/>
                <w:sz w:val="24"/>
                <w:szCs w:val="24"/>
              </w:rPr>
              <w:br/>
              <w:t>Tempo, Decathalon</w:t>
            </w:r>
            <w:r w:rsidRPr="00295730">
              <w:rPr>
                <w:rFonts w:ascii="Times New Roman" w:eastAsia="Times New Roman" w:hAnsi="Times New Roman" w:cs="Times New Roman"/>
                <w:sz w:val="24"/>
                <w:szCs w:val="24"/>
              </w:rPr>
              <w:br/>
              <w:t>Tame,</w:t>
            </w:r>
            <w:r w:rsidRPr="00295730">
              <w:rPr>
                <w:rFonts w:ascii="Times New Roman" w:eastAsia="Times New Roman" w:hAnsi="Times New Roman" w:cs="Times New Roman"/>
                <w:sz w:val="24"/>
                <w:szCs w:val="24"/>
              </w:rPr>
              <w:br/>
              <w:t>Scimitar</w:t>
            </w:r>
            <w:r w:rsidRPr="00295730">
              <w:rPr>
                <w:rFonts w:ascii="Times New Roman" w:eastAsia="Times New Roman" w:hAnsi="Times New Roman" w:cs="Times New Roman"/>
                <w:sz w:val="24"/>
                <w:szCs w:val="24"/>
              </w:rPr>
              <w:br/>
              <w:t>Astro, Pounce</w:t>
            </w:r>
            <w:r w:rsidRPr="00295730">
              <w:rPr>
                <w:rFonts w:ascii="Times New Roman" w:eastAsia="Times New Roman" w:hAnsi="Times New Roman" w:cs="Times New Roman"/>
                <w:sz w:val="24"/>
                <w:szCs w:val="24"/>
              </w:rPr>
              <w:br/>
            </w:r>
            <w:r w:rsidRPr="00295730">
              <w:rPr>
                <w:rFonts w:ascii="Times New Roman" w:eastAsia="Times New Roman" w:hAnsi="Times New Roman" w:cs="Times New Roman"/>
                <w:sz w:val="24"/>
                <w:szCs w:val="24"/>
              </w:rPr>
              <w:lastRenderedPageBreak/>
              <w:t xml:space="preserve">foggers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lastRenderedPageBreak/>
              <w:t>0.1</w:t>
            </w:r>
            <w:r w:rsidRPr="00295730">
              <w:rPr>
                <w:rFonts w:ascii="Times New Roman" w:eastAsia="Times New Roman" w:hAnsi="Times New Roman" w:cs="Times New Roman"/>
                <w:sz w:val="24"/>
                <w:szCs w:val="24"/>
              </w:rPr>
              <w:br/>
              <w:t xml:space="preserve">0.001 </w:t>
            </w:r>
            <w:r w:rsidRPr="00295730">
              <w:rPr>
                <w:rFonts w:ascii="Times New Roman" w:eastAsia="Times New Roman" w:hAnsi="Times New Roman" w:cs="Times New Roman"/>
                <w:sz w:val="24"/>
                <w:szCs w:val="24"/>
              </w:rPr>
              <w:br/>
              <w:t>0.05</w:t>
            </w:r>
            <w:r w:rsidRPr="00295730">
              <w:rPr>
                <w:rFonts w:ascii="Times New Roman" w:eastAsia="Times New Roman" w:hAnsi="Times New Roman" w:cs="Times New Roman"/>
                <w:sz w:val="24"/>
                <w:szCs w:val="24"/>
              </w:rPr>
              <w:br/>
              <w:t>0.038</w:t>
            </w:r>
            <w:r w:rsidRPr="00295730">
              <w:rPr>
                <w:rFonts w:ascii="Times New Roman" w:eastAsia="Times New Roman" w:hAnsi="Times New Roman" w:cs="Times New Roman"/>
                <w:sz w:val="24"/>
                <w:szCs w:val="24"/>
              </w:rPr>
              <w:br/>
              <w:t>0.029</w:t>
            </w:r>
            <w:r w:rsidRPr="00295730">
              <w:rPr>
                <w:rFonts w:ascii="Times New Roman" w:eastAsia="Times New Roman" w:hAnsi="Times New Roman" w:cs="Times New Roman"/>
                <w:sz w:val="24"/>
                <w:szCs w:val="24"/>
              </w:rPr>
              <w:br/>
            </w:r>
            <w:r w:rsidRPr="00295730">
              <w:rPr>
                <w:rFonts w:ascii="Times New Roman" w:eastAsia="Times New Roman" w:hAnsi="Times New Roman" w:cs="Times New Roman"/>
                <w:sz w:val="24"/>
                <w:szCs w:val="24"/>
              </w:rPr>
              <w:lastRenderedPageBreak/>
              <w:t xml:space="preserve">0.065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 xml:space="preserve">x </w:t>
            </w: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lastRenderedPageBreak/>
              <w:t>Botanical</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pyrethrin</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Pyganic</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0.15</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r>
      <w:tr w:rsidR="00295730" w:rsidRPr="00295730" w:rsidTr="00295730">
        <w:trPr>
          <w:tblCellSpacing w:w="15" w:type="dxa"/>
        </w:trPr>
        <w:tc>
          <w:tcPr>
            <w:tcW w:w="0" w:type="auto"/>
            <w:vMerge w:val="restart"/>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Insect growth regulators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diflubenzuron</w:t>
            </w:r>
            <w:r w:rsidRPr="00295730">
              <w:rPr>
                <w:rFonts w:ascii="Times New Roman" w:eastAsia="Times New Roman" w:hAnsi="Times New Roman" w:cs="Times New Roman"/>
                <w:sz w:val="24"/>
                <w:szCs w:val="24"/>
              </w:rPr>
              <w:br/>
              <w:t>tebufenozide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Adept, Dimilin</w:t>
            </w:r>
            <w:r w:rsidRPr="00295730">
              <w:rPr>
                <w:rFonts w:ascii="Times New Roman" w:eastAsia="Times New Roman" w:hAnsi="Times New Roman" w:cs="Times New Roman"/>
                <w:sz w:val="24"/>
                <w:szCs w:val="24"/>
              </w:rPr>
              <w:br/>
              <w:t xml:space="preserve">Confirm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25</w:t>
            </w:r>
            <w:r w:rsidRPr="00295730">
              <w:rPr>
                <w:rFonts w:ascii="Times New Roman" w:eastAsia="Times New Roman" w:hAnsi="Times New Roman" w:cs="Times New Roman"/>
                <w:sz w:val="24"/>
                <w:szCs w:val="24"/>
              </w:rPr>
              <w:br/>
              <w:t>234</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azadirachtin</w:t>
            </w:r>
            <w:r w:rsidRPr="00295730">
              <w:rPr>
                <w:rFonts w:ascii="Times New Roman" w:eastAsia="Times New Roman" w:hAnsi="Times New Roman" w:cs="Times New Roman"/>
                <w:sz w:val="24"/>
                <w:szCs w:val="24"/>
              </w:rPr>
              <w:br/>
              <w:t>buprofezin</w:t>
            </w:r>
            <w:r w:rsidRPr="00295730">
              <w:rPr>
                <w:rFonts w:ascii="Times New Roman" w:eastAsia="Times New Roman" w:hAnsi="Times New Roman" w:cs="Times New Roman"/>
                <w:sz w:val="24"/>
                <w:szCs w:val="24"/>
              </w:rPr>
              <w:br/>
              <w:t xml:space="preserve">pyriproxyfen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Aza-Direct, Azatin</w:t>
            </w:r>
            <w:r w:rsidRPr="00295730">
              <w:rPr>
                <w:rFonts w:ascii="Times New Roman" w:eastAsia="Times New Roman" w:hAnsi="Times New Roman" w:cs="Times New Roman"/>
                <w:sz w:val="24"/>
                <w:szCs w:val="24"/>
              </w:rPr>
              <w:br/>
              <w:t>Talus,</w:t>
            </w:r>
            <w:r w:rsidRPr="00295730">
              <w:rPr>
                <w:rFonts w:ascii="Times New Roman" w:eastAsia="Times New Roman" w:hAnsi="Times New Roman" w:cs="Times New Roman"/>
                <w:sz w:val="24"/>
                <w:szCs w:val="24"/>
              </w:rPr>
              <w:br/>
              <w:t xml:space="preserve">Distance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2.5</w:t>
            </w:r>
            <w:r w:rsidRPr="00295730">
              <w:rPr>
                <w:rFonts w:ascii="Times New Roman" w:eastAsia="Times New Roman" w:hAnsi="Times New Roman" w:cs="Times New Roman"/>
                <w:sz w:val="24"/>
                <w:szCs w:val="24"/>
              </w:rPr>
              <w:br/>
              <w:t>163</w:t>
            </w:r>
            <w:r w:rsidRPr="00295730">
              <w:rPr>
                <w:rFonts w:ascii="Times New Roman" w:eastAsia="Times New Roman" w:hAnsi="Times New Roman" w:cs="Times New Roman"/>
                <w:sz w:val="24"/>
                <w:szCs w:val="24"/>
              </w:rPr>
              <w:br/>
              <w:t>100</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novaluron</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Pedestal</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150</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cyromazine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Citation</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25</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Juvenile hormone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s-kinoprene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Enstar II</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35</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Anthranilic Diamides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chlorantraniliprole</w:t>
            </w:r>
            <w:r w:rsidRPr="00295730">
              <w:rPr>
                <w:rFonts w:ascii="Times New Roman" w:eastAsia="Times New Roman" w:hAnsi="Times New Roman" w:cs="Times New Roman"/>
                <w:sz w:val="24"/>
                <w:szCs w:val="24"/>
              </w:rPr>
              <w:br/>
            </w:r>
            <w:r w:rsidRPr="00295730">
              <w:rPr>
                <w:rFonts w:ascii="Times New Roman" w:eastAsia="Times New Roman" w:hAnsi="Times New Roman" w:cs="Times New Roman"/>
                <w:b/>
                <w:bCs/>
                <w:sz w:val="24"/>
                <w:szCs w:val="24"/>
              </w:rPr>
              <w:t>cyantraniliprole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Acelepryn</w:t>
            </w:r>
            <w:r w:rsidRPr="00295730">
              <w:rPr>
                <w:rFonts w:ascii="Times New Roman" w:eastAsia="Times New Roman" w:hAnsi="Times New Roman" w:cs="Times New Roman"/>
                <w:sz w:val="24"/>
                <w:szCs w:val="24"/>
              </w:rPr>
              <w:br/>
              <w:t xml:space="preserve">Mainspring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&gt;104</w:t>
            </w:r>
            <w:r w:rsidRPr="00295730">
              <w:rPr>
                <w:rFonts w:ascii="Times New Roman" w:eastAsia="Times New Roman" w:hAnsi="Times New Roman" w:cs="Times New Roman"/>
                <w:sz w:val="24"/>
                <w:szCs w:val="24"/>
              </w:rPr>
              <w:br/>
              <w:t>0.116</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br/>
              <w:t>x</w:t>
            </w:r>
          </w:p>
        </w:tc>
      </w:tr>
      <w:tr w:rsidR="00295730" w:rsidRPr="00295730" w:rsidTr="00491D39">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Macrocyclic lactones</w:t>
            </w:r>
          </w:p>
        </w:tc>
        <w:tc>
          <w:tcPr>
            <w:tcW w:w="0" w:type="auto"/>
            <w:vAlign w:val="center"/>
            <w:hideMark/>
          </w:tcPr>
          <w:p w:rsidR="00295730" w:rsidRPr="00295730" w:rsidRDefault="00295730" w:rsidP="00491D39">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abamectin</w:t>
            </w:r>
            <w:r w:rsidRPr="00295730">
              <w:rPr>
                <w:rFonts w:ascii="Times New Roman" w:eastAsia="Times New Roman" w:hAnsi="Times New Roman" w:cs="Times New Roman"/>
                <w:b/>
                <w:bCs/>
                <w:sz w:val="24"/>
                <w:szCs w:val="24"/>
              </w:rPr>
              <w:br/>
            </w:r>
            <w:r w:rsidRPr="00295730">
              <w:rPr>
                <w:rFonts w:ascii="Times New Roman" w:eastAsia="Times New Roman" w:hAnsi="Times New Roman" w:cs="Times New Roman"/>
                <w:b/>
                <w:bCs/>
                <w:sz w:val="24"/>
                <w:szCs w:val="24"/>
              </w:rPr>
              <w:br/>
              <w:t>emamectin-benzoate</w:t>
            </w:r>
          </w:p>
        </w:tc>
        <w:tc>
          <w:tcPr>
            <w:tcW w:w="0" w:type="auto"/>
            <w:hideMark/>
          </w:tcPr>
          <w:p w:rsidR="00295730" w:rsidRPr="00295730" w:rsidRDefault="00295730" w:rsidP="00491D39">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Avid</w:t>
            </w:r>
            <w:r w:rsidR="00491D39">
              <w:rPr>
                <w:rFonts w:ascii="Times New Roman" w:eastAsia="Times New Roman" w:hAnsi="Times New Roman" w:cs="Times New Roman"/>
                <w:sz w:val="24"/>
                <w:szCs w:val="24"/>
              </w:rPr>
              <w:t>,</w:t>
            </w:r>
            <w:r w:rsidR="00491D39" w:rsidRPr="00295730">
              <w:rPr>
                <w:rFonts w:ascii="Times New Roman" w:eastAsia="Times New Roman" w:hAnsi="Times New Roman" w:cs="Times New Roman"/>
                <w:sz w:val="24"/>
                <w:szCs w:val="24"/>
              </w:rPr>
              <w:t xml:space="preserve"> </w:t>
            </w:r>
            <w:r w:rsidR="00491D39" w:rsidRPr="00295730">
              <w:rPr>
                <w:rFonts w:ascii="Times New Roman" w:eastAsia="Times New Roman" w:hAnsi="Times New Roman" w:cs="Times New Roman"/>
                <w:sz w:val="24"/>
                <w:szCs w:val="24"/>
              </w:rPr>
              <w:t>Sirocco</w:t>
            </w:r>
            <w:r w:rsidRPr="00295730">
              <w:rPr>
                <w:rFonts w:ascii="Times New Roman" w:eastAsia="Times New Roman" w:hAnsi="Times New Roman" w:cs="Times New Roman"/>
                <w:sz w:val="24"/>
                <w:szCs w:val="24"/>
              </w:rPr>
              <w:br/>
            </w:r>
            <w:r w:rsidRPr="00295730">
              <w:rPr>
                <w:rFonts w:ascii="Times New Roman" w:eastAsia="Times New Roman" w:hAnsi="Times New Roman" w:cs="Times New Roman"/>
                <w:sz w:val="24"/>
                <w:szCs w:val="24"/>
              </w:rPr>
              <w:br/>
              <w:t xml:space="preserve">Tree-age, Enfold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0.009</w:t>
            </w:r>
            <w:r w:rsidRPr="00295730">
              <w:rPr>
                <w:rFonts w:ascii="Times New Roman" w:eastAsia="Times New Roman" w:hAnsi="Times New Roman" w:cs="Times New Roman"/>
                <w:sz w:val="24"/>
                <w:szCs w:val="24"/>
              </w:rPr>
              <w:br/>
              <w:t>0.41</w:t>
            </w:r>
            <w:r w:rsidRPr="00295730">
              <w:rPr>
                <w:rFonts w:ascii="Times New Roman" w:eastAsia="Times New Roman" w:hAnsi="Times New Roman" w:cs="Times New Roman"/>
                <w:sz w:val="24"/>
                <w:szCs w:val="24"/>
              </w:rPr>
              <w:br/>
              <w:t>0.285</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p>
        </w:tc>
      </w:tr>
      <w:tr w:rsidR="00295730" w:rsidRPr="00295730" w:rsidTr="00295730">
        <w:trPr>
          <w:tblCellSpacing w:w="15" w:type="dxa"/>
        </w:trPr>
        <w:tc>
          <w:tcPr>
            <w:tcW w:w="0" w:type="auto"/>
            <w:vMerge w:val="restart"/>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Miticides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acequinocyl</w:t>
            </w:r>
            <w:r w:rsidRPr="00295730">
              <w:rPr>
                <w:rFonts w:ascii="Times New Roman" w:eastAsia="Times New Roman" w:hAnsi="Times New Roman" w:cs="Times New Roman"/>
                <w:sz w:val="24"/>
                <w:szCs w:val="24"/>
              </w:rPr>
              <w:br/>
              <w:t>etoxazole</w:t>
            </w:r>
            <w:r w:rsidRPr="00295730">
              <w:rPr>
                <w:rFonts w:ascii="Times New Roman" w:eastAsia="Times New Roman" w:hAnsi="Times New Roman" w:cs="Times New Roman"/>
                <w:sz w:val="24"/>
                <w:szCs w:val="24"/>
              </w:rPr>
              <w:br/>
              <w:t>fenpyroximate</w:t>
            </w:r>
            <w:r w:rsidRPr="00295730">
              <w:rPr>
                <w:rFonts w:ascii="Times New Roman" w:eastAsia="Times New Roman" w:hAnsi="Times New Roman" w:cs="Times New Roman"/>
                <w:sz w:val="24"/>
                <w:szCs w:val="24"/>
              </w:rPr>
              <w:br/>
              <w:t>fenbutatin-oxide</w:t>
            </w:r>
            <w:r w:rsidRPr="00295730">
              <w:rPr>
                <w:rFonts w:ascii="Times New Roman" w:eastAsia="Times New Roman" w:hAnsi="Times New Roman" w:cs="Times New Roman"/>
                <w:sz w:val="24"/>
                <w:szCs w:val="24"/>
              </w:rPr>
              <w:br/>
              <w:t xml:space="preserve">halofenozide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Shuttle</w:t>
            </w:r>
            <w:r w:rsidRPr="00295730">
              <w:rPr>
                <w:rFonts w:ascii="Times New Roman" w:eastAsia="Times New Roman" w:hAnsi="Times New Roman" w:cs="Times New Roman"/>
                <w:sz w:val="24"/>
                <w:szCs w:val="24"/>
              </w:rPr>
              <w:br/>
              <w:t>TetraSan, Beethoven</w:t>
            </w:r>
            <w:r w:rsidRPr="00295730">
              <w:rPr>
                <w:rFonts w:ascii="Times New Roman" w:eastAsia="Times New Roman" w:hAnsi="Times New Roman" w:cs="Times New Roman"/>
                <w:sz w:val="24"/>
                <w:szCs w:val="24"/>
              </w:rPr>
              <w:br/>
              <w:t>Akari,</w:t>
            </w:r>
            <w:r w:rsidRPr="00295730">
              <w:rPr>
                <w:rFonts w:ascii="Times New Roman" w:eastAsia="Times New Roman" w:hAnsi="Times New Roman" w:cs="Times New Roman"/>
                <w:sz w:val="24"/>
                <w:szCs w:val="24"/>
              </w:rPr>
              <w:br/>
              <w:t>Vendex</w:t>
            </w:r>
            <w:r w:rsidRPr="00295730">
              <w:rPr>
                <w:rFonts w:ascii="Times New Roman" w:eastAsia="Times New Roman" w:hAnsi="Times New Roman" w:cs="Times New Roman"/>
                <w:sz w:val="24"/>
                <w:szCs w:val="24"/>
              </w:rPr>
              <w:br/>
              <w:t xml:space="preserve">Mach II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&gt;100</w:t>
            </w:r>
            <w:r w:rsidRPr="00295730">
              <w:rPr>
                <w:rFonts w:ascii="Times New Roman" w:eastAsia="Times New Roman" w:hAnsi="Times New Roman" w:cs="Times New Roman"/>
                <w:sz w:val="24"/>
                <w:szCs w:val="24"/>
              </w:rPr>
              <w:br/>
              <w:t>200</w:t>
            </w:r>
            <w:r w:rsidRPr="00295730">
              <w:rPr>
                <w:rFonts w:ascii="Times New Roman" w:eastAsia="Times New Roman" w:hAnsi="Times New Roman" w:cs="Times New Roman"/>
                <w:sz w:val="24"/>
                <w:szCs w:val="24"/>
              </w:rPr>
              <w:br/>
              <w:t>162</w:t>
            </w:r>
            <w:r w:rsidRPr="00295730">
              <w:rPr>
                <w:rFonts w:ascii="Times New Roman" w:eastAsia="Times New Roman" w:hAnsi="Times New Roman" w:cs="Times New Roman"/>
                <w:sz w:val="24"/>
                <w:szCs w:val="24"/>
              </w:rPr>
              <w:br/>
              <w:t>3982</w:t>
            </w:r>
            <w:r w:rsidRPr="00295730">
              <w:rPr>
                <w:rFonts w:ascii="Times New Roman" w:eastAsia="Times New Roman" w:hAnsi="Times New Roman" w:cs="Times New Roman"/>
                <w:sz w:val="24"/>
                <w:szCs w:val="24"/>
              </w:rPr>
              <w:br/>
              <w:t xml:space="preserve">100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x</w:t>
            </w:r>
            <w:r w:rsidRPr="00295730">
              <w:rPr>
                <w:rFonts w:ascii="Times New Roman" w:eastAsia="Times New Roman" w:hAnsi="Times New Roman" w:cs="Times New Roman"/>
                <w:sz w:val="24"/>
                <w:szCs w:val="24"/>
              </w:rPr>
              <w:br/>
              <w:t xml:space="preserve">x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clofentezine,</w:t>
            </w:r>
            <w:r w:rsidRPr="00295730">
              <w:rPr>
                <w:rFonts w:ascii="Times New Roman" w:eastAsia="Times New Roman" w:hAnsi="Times New Roman" w:cs="Times New Roman"/>
                <w:sz w:val="24"/>
                <w:szCs w:val="24"/>
              </w:rPr>
              <w:br/>
              <w:t xml:space="preserve">hexythiazox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Ovation</w:t>
            </w:r>
            <w:r w:rsidRPr="00295730">
              <w:rPr>
                <w:rFonts w:ascii="Times New Roman" w:eastAsia="Times New Roman" w:hAnsi="Times New Roman" w:cs="Times New Roman"/>
                <w:sz w:val="24"/>
                <w:szCs w:val="24"/>
              </w:rPr>
              <w:br/>
              <w:t>Hexygon</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111</w:t>
            </w:r>
            <w:r w:rsidRPr="00295730">
              <w:rPr>
                <w:rFonts w:ascii="Times New Roman" w:eastAsia="Times New Roman" w:hAnsi="Times New Roman" w:cs="Times New Roman"/>
                <w:sz w:val="24"/>
                <w:szCs w:val="24"/>
              </w:rPr>
              <w:br/>
              <w:t>200</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bifenazate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Floramite, Sirocco</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7.8</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pyridaben</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Sanmite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0.024</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chlorfenapyr</w:t>
            </w:r>
          </w:p>
        </w:tc>
        <w:tc>
          <w:tcPr>
            <w:tcW w:w="0" w:type="auto"/>
            <w:vAlign w:val="center"/>
            <w:hideMark/>
          </w:tcPr>
          <w:p w:rsidR="00295730" w:rsidRPr="00295730" w:rsidRDefault="00491D39" w:rsidP="002957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Pylon</w:t>
            </w:r>
            <w:bookmarkStart w:id="0" w:name="_GoBack"/>
            <w:bookmarkEnd w:id="0"/>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0.12</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Spinosyns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spinosad, less toxic when dry</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Conserve/Entrust less toxic dried</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0.05</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Tetronic acids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spirotetramat</w:t>
            </w:r>
            <w:r w:rsidRPr="00295730">
              <w:rPr>
                <w:rFonts w:ascii="Times New Roman" w:eastAsia="Times New Roman" w:hAnsi="Times New Roman" w:cs="Times New Roman"/>
                <w:sz w:val="24"/>
                <w:szCs w:val="24"/>
              </w:rPr>
              <w:br/>
              <w:t>spiromesifen</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Kontos</w:t>
            </w:r>
            <w:r w:rsidRPr="00295730">
              <w:rPr>
                <w:rFonts w:ascii="Times New Roman" w:eastAsia="Times New Roman" w:hAnsi="Times New Roman" w:cs="Times New Roman"/>
                <w:sz w:val="24"/>
                <w:szCs w:val="24"/>
              </w:rPr>
              <w:br/>
              <w:t>Judo, Forbid</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107</w:t>
            </w:r>
            <w:r w:rsidRPr="00295730">
              <w:rPr>
                <w:rFonts w:ascii="Times New Roman" w:eastAsia="Times New Roman" w:hAnsi="Times New Roman" w:cs="Times New Roman"/>
                <w:sz w:val="24"/>
                <w:szCs w:val="24"/>
              </w:rPr>
              <w:br/>
              <w:t>200</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r w:rsidRPr="00295730">
              <w:rPr>
                <w:rFonts w:ascii="Times New Roman" w:eastAsia="Times New Roman" w:hAnsi="Times New Roman" w:cs="Times New Roman"/>
                <w:sz w:val="24"/>
                <w:szCs w:val="24"/>
              </w:rPr>
              <w:b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lastRenderedPageBreak/>
              <w:t xml:space="preserve">GABA-channel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fipronil</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Fipronil, Termidor</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0.004</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Pyridine carboxamide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flonicamid</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Aria</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60.5</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Pyridine azomethines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b/>
                <w:bCs/>
                <w:sz w:val="24"/>
                <w:szCs w:val="24"/>
              </w:rPr>
              <w:t>pymetrozine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Endeavor</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158.5</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restart"/>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Other insecticides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i/>
                <w:iCs/>
                <w:sz w:val="24"/>
                <w:szCs w:val="24"/>
              </w:rPr>
              <w:t>Bacillus thuringiensis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 xml:space="preserve">Bt/Dipel </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N/A</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potassium salts fatty acids soaps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Surround, M-Pede</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vMerge/>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horticultural mineral oils</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Monterey Oil</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x</w:t>
            </w:r>
          </w:p>
        </w:tc>
        <w:tc>
          <w:tcPr>
            <w:tcW w:w="0" w:type="auto"/>
            <w:vAlign w:val="center"/>
            <w:hideMark/>
          </w:tcPr>
          <w:p w:rsidR="00295730" w:rsidRPr="00295730" w:rsidRDefault="00295730" w:rsidP="00295730">
            <w:pPr>
              <w:spacing w:after="0" w:line="240" w:lineRule="auto"/>
              <w:rPr>
                <w:rFonts w:ascii="Times New Roman" w:eastAsia="Times New Roman" w:hAnsi="Times New Roman" w:cs="Times New Roman"/>
                <w:sz w:val="24"/>
                <w:szCs w:val="24"/>
              </w:rPr>
            </w:pPr>
          </w:p>
        </w:tc>
      </w:tr>
      <w:tr w:rsidR="00295730" w:rsidRPr="00295730" w:rsidTr="00295730">
        <w:trPr>
          <w:tblCellSpacing w:w="15" w:type="dxa"/>
        </w:trPr>
        <w:tc>
          <w:tcPr>
            <w:tcW w:w="0" w:type="auto"/>
            <w:gridSpan w:val="7"/>
            <w:vAlign w:val="center"/>
            <w:hideMark/>
          </w:tcPr>
          <w:p w:rsidR="00295730" w:rsidRPr="00295730" w:rsidRDefault="00295730" w:rsidP="00295730">
            <w:pPr>
              <w:spacing w:before="100" w:beforeAutospacing="1" w:after="100" w:afterAutospacing="1"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i/>
                <w:iCs/>
                <w:sz w:val="24"/>
                <w:szCs w:val="24"/>
              </w:rPr>
              <w:t>The information given herein is supplied with the understanding that no discrimination is intended and no endorsement by the University of Minnesota Extension. Remember, the label is law.</w:t>
            </w:r>
          </w:p>
        </w:tc>
      </w:tr>
      <w:tr w:rsidR="00295730" w:rsidRPr="00295730" w:rsidTr="00295730">
        <w:trPr>
          <w:tblCellSpacing w:w="15" w:type="dxa"/>
        </w:trPr>
        <w:tc>
          <w:tcPr>
            <w:tcW w:w="0" w:type="auto"/>
            <w:gridSpan w:val="7"/>
            <w:vAlign w:val="center"/>
            <w:hideMark/>
          </w:tcPr>
          <w:p w:rsidR="00295730" w:rsidRPr="00295730" w:rsidRDefault="00295730" w:rsidP="00295730">
            <w:pPr>
              <w:spacing w:before="100" w:beforeAutospacing="1" w:after="100" w:afterAutospacing="1" w:line="240" w:lineRule="auto"/>
              <w:rPr>
                <w:rFonts w:ascii="Times New Roman" w:eastAsia="Times New Roman" w:hAnsi="Times New Roman" w:cs="Times New Roman"/>
                <w:sz w:val="24"/>
                <w:szCs w:val="24"/>
              </w:rPr>
            </w:pPr>
            <w:r w:rsidRPr="00295730">
              <w:rPr>
                <w:rFonts w:ascii="Times New Roman" w:eastAsia="Times New Roman" w:hAnsi="Times New Roman" w:cs="Times New Roman"/>
                <w:sz w:val="24"/>
                <w:szCs w:val="24"/>
              </w:rPr>
              <w:t>**Toxicity Category I, highly toxic to bees, Acute Contact LD</w:t>
            </w:r>
            <w:r w:rsidRPr="00295730">
              <w:rPr>
                <w:rFonts w:ascii="Times New Roman" w:eastAsia="Times New Roman" w:hAnsi="Times New Roman" w:cs="Times New Roman"/>
                <w:sz w:val="24"/>
                <w:szCs w:val="24"/>
                <w:vertAlign w:val="subscript"/>
              </w:rPr>
              <w:t>50</w:t>
            </w:r>
            <w:r w:rsidRPr="00295730">
              <w:rPr>
                <w:rFonts w:ascii="Times New Roman" w:eastAsia="Times New Roman" w:hAnsi="Times New Roman" w:cs="Times New Roman"/>
                <w:sz w:val="24"/>
                <w:szCs w:val="24"/>
              </w:rPr>
              <w:t xml:space="preserve"> is &lt; 2 µg/bee</w:t>
            </w:r>
            <w:r w:rsidRPr="00295730">
              <w:rPr>
                <w:rFonts w:ascii="Times New Roman" w:eastAsia="Times New Roman" w:hAnsi="Times New Roman" w:cs="Times New Roman"/>
                <w:sz w:val="24"/>
                <w:szCs w:val="24"/>
              </w:rPr>
              <w:br/>
              <w:t>Toxicity Category II, moderately toxic to bees, the LD</w:t>
            </w:r>
            <w:r w:rsidRPr="00295730">
              <w:rPr>
                <w:rFonts w:ascii="Times New Roman" w:eastAsia="Times New Roman" w:hAnsi="Times New Roman" w:cs="Times New Roman"/>
                <w:sz w:val="24"/>
                <w:szCs w:val="24"/>
                <w:vertAlign w:val="subscript"/>
              </w:rPr>
              <w:t>50</w:t>
            </w:r>
            <w:r w:rsidRPr="00295730">
              <w:rPr>
                <w:rFonts w:ascii="Times New Roman" w:eastAsia="Times New Roman" w:hAnsi="Times New Roman" w:cs="Times New Roman"/>
                <w:sz w:val="24"/>
                <w:szCs w:val="24"/>
              </w:rPr>
              <w:t xml:space="preserve"> is 2-10.99 µg/bee</w:t>
            </w:r>
            <w:r w:rsidRPr="00295730">
              <w:rPr>
                <w:rFonts w:ascii="Times New Roman" w:eastAsia="Times New Roman" w:hAnsi="Times New Roman" w:cs="Times New Roman"/>
                <w:sz w:val="24"/>
                <w:szCs w:val="24"/>
              </w:rPr>
              <w:br/>
              <w:t>Toxicity Category III, Relatively nontoxic, NT, to bees, the LD</w:t>
            </w:r>
            <w:r w:rsidRPr="00295730">
              <w:rPr>
                <w:rFonts w:ascii="Times New Roman" w:eastAsia="Times New Roman" w:hAnsi="Times New Roman" w:cs="Times New Roman"/>
                <w:sz w:val="24"/>
                <w:szCs w:val="24"/>
                <w:vertAlign w:val="subscript"/>
              </w:rPr>
              <w:t>50</w:t>
            </w:r>
            <w:r w:rsidRPr="00295730">
              <w:rPr>
                <w:rFonts w:ascii="Times New Roman" w:eastAsia="Times New Roman" w:hAnsi="Times New Roman" w:cs="Times New Roman"/>
                <w:sz w:val="24"/>
                <w:szCs w:val="24"/>
              </w:rPr>
              <w:t xml:space="preserve"> is 11-100 µg/bee</w:t>
            </w:r>
            <w:r w:rsidRPr="00295730">
              <w:rPr>
                <w:rFonts w:ascii="Times New Roman" w:eastAsia="Times New Roman" w:hAnsi="Times New Roman" w:cs="Times New Roman"/>
                <w:sz w:val="24"/>
                <w:szCs w:val="24"/>
              </w:rPr>
              <w:br/>
              <w:t xml:space="preserve">*1. </w:t>
            </w:r>
            <w:hyperlink r:id="rId12" w:history="1">
              <w:r w:rsidRPr="00295730">
                <w:rPr>
                  <w:rFonts w:ascii="Times New Roman" w:eastAsia="Times New Roman" w:hAnsi="Times New Roman" w:cs="Times New Roman"/>
                  <w:color w:val="0000FF"/>
                  <w:sz w:val="24"/>
                  <w:szCs w:val="24"/>
                  <w:u w:val="single"/>
                </w:rPr>
                <w:t>Protecting honeybees from pesticides, Purdue Extension</w:t>
              </w:r>
            </w:hyperlink>
            <w:r w:rsidRPr="00295730">
              <w:rPr>
                <w:rFonts w:ascii="Times New Roman" w:eastAsia="Times New Roman" w:hAnsi="Times New Roman" w:cs="Times New Roman"/>
                <w:sz w:val="24"/>
                <w:szCs w:val="24"/>
              </w:rPr>
              <w:t>, E-53W, Krupke, C., G. Hunt, and R. Foster, June 2014</w:t>
            </w:r>
            <w:r w:rsidRPr="00295730">
              <w:rPr>
                <w:rFonts w:ascii="Times New Roman" w:eastAsia="Times New Roman" w:hAnsi="Times New Roman" w:cs="Times New Roman"/>
                <w:sz w:val="24"/>
                <w:szCs w:val="24"/>
              </w:rPr>
              <w:br/>
              <w:t>2.</w:t>
            </w:r>
            <w:hyperlink r:id="rId13" w:history="1">
              <w:r w:rsidRPr="00295730">
                <w:rPr>
                  <w:rFonts w:ascii="Times New Roman" w:eastAsia="Times New Roman" w:hAnsi="Times New Roman" w:cs="Times New Roman"/>
                  <w:color w:val="0000FF"/>
                  <w:sz w:val="24"/>
                  <w:szCs w:val="24"/>
                  <w:u w:val="single"/>
                </w:rPr>
                <w:t xml:space="preserve"> How to reduce bee poisoning from pesticides</w:t>
              </w:r>
            </w:hyperlink>
            <w:r w:rsidRPr="00295730">
              <w:rPr>
                <w:rFonts w:ascii="Times New Roman" w:eastAsia="Times New Roman" w:hAnsi="Times New Roman" w:cs="Times New Roman"/>
                <w:sz w:val="24"/>
                <w:szCs w:val="24"/>
              </w:rPr>
              <w:t>, A Pacific Northwest Extension Publication, OSU, UI, WSU, PNW 591, Hooven, L., Sagili, and E. Johansen; Pesticide toxicity to bees</w:t>
            </w:r>
            <w:r w:rsidRPr="00295730">
              <w:rPr>
                <w:rFonts w:ascii="Times New Roman" w:eastAsia="Times New Roman" w:hAnsi="Times New Roman" w:cs="Times New Roman"/>
                <w:sz w:val="24"/>
                <w:szCs w:val="24"/>
              </w:rPr>
              <w:br/>
              <w:t xml:space="preserve">3. </w:t>
            </w:r>
            <w:hyperlink r:id="rId14" w:history="1">
              <w:r w:rsidRPr="00295730">
                <w:rPr>
                  <w:rFonts w:ascii="Times New Roman" w:eastAsia="Times New Roman" w:hAnsi="Times New Roman" w:cs="Times New Roman"/>
                  <w:color w:val="0000FF"/>
                  <w:sz w:val="24"/>
                  <w:szCs w:val="24"/>
                  <w:u w:val="single"/>
                </w:rPr>
                <w:t>Pesticide stewardship</w:t>
              </w:r>
            </w:hyperlink>
            <w:r w:rsidRPr="00295730">
              <w:rPr>
                <w:rFonts w:ascii="Times New Roman" w:eastAsia="Times New Roman" w:hAnsi="Times New Roman" w:cs="Times New Roman"/>
                <w:sz w:val="24"/>
                <w:szCs w:val="24"/>
              </w:rPr>
              <w:br/>
              <w:t xml:space="preserve">4. </w:t>
            </w:r>
            <w:hyperlink r:id="rId15" w:history="1">
              <w:r w:rsidRPr="00295730">
                <w:rPr>
                  <w:rFonts w:ascii="Times New Roman" w:eastAsia="Times New Roman" w:hAnsi="Times New Roman" w:cs="Times New Roman"/>
                  <w:color w:val="0000FF"/>
                  <w:sz w:val="24"/>
                  <w:szCs w:val="24"/>
                  <w:u w:val="single"/>
                </w:rPr>
                <w:t>Farmland birds, list of EPA 2011 pesticides and LD50</w:t>
              </w:r>
            </w:hyperlink>
            <w:r w:rsidRPr="00295730">
              <w:rPr>
                <w:rFonts w:ascii="Times New Roman" w:eastAsia="Times New Roman" w:hAnsi="Times New Roman" w:cs="Times New Roman"/>
                <w:sz w:val="24"/>
                <w:szCs w:val="24"/>
              </w:rPr>
              <w:br/>
              <w:t xml:space="preserve">5. </w:t>
            </w:r>
            <w:hyperlink r:id="rId16" w:history="1">
              <w:r w:rsidRPr="00295730">
                <w:rPr>
                  <w:rFonts w:ascii="Times New Roman" w:eastAsia="Times New Roman" w:hAnsi="Times New Roman" w:cs="Times New Roman"/>
                  <w:color w:val="0000FF"/>
                  <w:sz w:val="24"/>
                  <w:szCs w:val="24"/>
                  <w:u w:val="single"/>
                </w:rPr>
                <w:t>University of Hertfordshire PPDB, pesticide properties database</w:t>
              </w:r>
            </w:hyperlink>
            <w:r w:rsidRPr="00295730">
              <w:rPr>
                <w:rFonts w:ascii="Times New Roman" w:eastAsia="Times New Roman" w:hAnsi="Times New Roman" w:cs="Times New Roman"/>
                <w:sz w:val="24"/>
                <w:szCs w:val="24"/>
              </w:rPr>
              <w:br/>
              <w:t xml:space="preserve">6. </w:t>
            </w:r>
            <w:hyperlink r:id="rId17" w:history="1">
              <w:r w:rsidRPr="00295730">
                <w:rPr>
                  <w:rFonts w:ascii="Times New Roman" w:eastAsia="Times New Roman" w:hAnsi="Times New Roman" w:cs="Times New Roman"/>
                  <w:color w:val="0000FF"/>
                  <w:sz w:val="24"/>
                  <w:szCs w:val="24"/>
                  <w:u w:val="single"/>
                </w:rPr>
                <w:t>Pesticide Target Interaction Base</w:t>
              </w:r>
            </w:hyperlink>
            <w:r w:rsidRPr="00295730">
              <w:rPr>
                <w:rFonts w:ascii="Times New Roman" w:eastAsia="Times New Roman" w:hAnsi="Times New Roman" w:cs="Times New Roman"/>
                <w:sz w:val="24"/>
                <w:szCs w:val="24"/>
              </w:rPr>
              <w:br/>
              <w:t xml:space="preserve">7. </w:t>
            </w:r>
            <w:hyperlink r:id="rId18" w:history="1">
              <w:r w:rsidRPr="00295730">
                <w:rPr>
                  <w:rFonts w:ascii="Times New Roman" w:eastAsia="Times New Roman" w:hAnsi="Times New Roman" w:cs="Times New Roman"/>
                  <w:color w:val="0000FF"/>
                  <w:sz w:val="24"/>
                  <w:szCs w:val="24"/>
                  <w:u w:val="single"/>
                </w:rPr>
                <w:t>Safety and use of neonicotinoids insecticides in turfgrass</w:t>
              </w:r>
            </w:hyperlink>
            <w:r w:rsidRPr="00295730">
              <w:rPr>
                <w:rFonts w:ascii="Times New Roman" w:eastAsia="Times New Roman" w:hAnsi="Times New Roman" w:cs="Times New Roman"/>
                <w:sz w:val="24"/>
                <w:szCs w:val="24"/>
              </w:rPr>
              <w:t>, Doug Richmond, Purdue University</w:t>
            </w:r>
          </w:p>
        </w:tc>
      </w:tr>
    </w:tbl>
    <w:p w:rsidR="000D34BF" w:rsidRDefault="000D34BF">
      <w:pPr>
        <w:rPr>
          <w:rFonts w:ascii="Times New Roman" w:eastAsia="Times New Roman" w:hAnsi="Times New Roman" w:cs="Times New Roman"/>
          <w:sz w:val="24"/>
          <w:szCs w:val="24"/>
        </w:rPr>
      </w:pPr>
    </w:p>
    <w:p w:rsidR="004B6701" w:rsidRDefault="004B6701"/>
    <w:tbl>
      <w:tblPr>
        <w:tblStyle w:val="TableGrid"/>
        <w:tblW w:w="0" w:type="auto"/>
        <w:tblLook w:val="04A0" w:firstRow="1" w:lastRow="0" w:firstColumn="1" w:lastColumn="0" w:noHBand="0" w:noVBand="1"/>
      </w:tblPr>
      <w:tblGrid>
        <w:gridCol w:w="5033"/>
        <w:gridCol w:w="4543"/>
      </w:tblGrid>
      <w:tr w:rsidR="004B6701" w:rsidTr="004B6701">
        <w:tc>
          <w:tcPr>
            <w:tcW w:w="4788" w:type="dxa"/>
          </w:tcPr>
          <w:p w:rsidR="004B6701" w:rsidRDefault="004B6701">
            <w:r>
              <w:rPr>
                <w:noProof/>
              </w:rPr>
              <w:lastRenderedPageBreak/>
              <w:drawing>
                <wp:inline distT="0" distB="0" distL="0" distR="0" wp14:anchorId="6276C832" wp14:editId="01EB082D">
                  <wp:extent cx="3098799" cy="23241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3999" cy="2328000"/>
                          </a:xfrm>
                          <a:prstGeom prst="rect">
                            <a:avLst/>
                          </a:prstGeom>
                        </pic:spPr>
                      </pic:pic>
                    </a:graphicData>
                  </a:graphic>
                </wp:inline>
              </w:drawing>
            </w:r>
          </w:p>
        </w:tc>
        <w:tc>
          <w:tcPr>
            <w:tcW w:w="4788" w:type="dxa"/>
          </w:tcPr>
          <w:p w:rsidR="004B6701" w:rsidRDefault="004B6701">
            <w:r>
              <w:rPr>
                <w:noProof/>
              </w:rPr>
              <w:drawing>
                <wp:inline distT="0" distB="0" distL="0" distR="0">
                  <wp:extent cx="28575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0138" cy="2145104"/>
                          </a:xfrm>
                          <a:prstGeom prst="rect">
                            <a:avLst/>
                          </a:prstGeom>
                        </pic:spPr>
                      </pic:pic>
                    </a:graphicData>
                  </a:graphic>
                </wp:inline>
              </w:drawing>
            </w:r>
          </w:p>
        </w:tc>
      </w:tr>
      <w:tr w:rsidR="004B6701" w:rsidTr="004B6701">
        <w:tc>
          <w:tcPr>
            <w:tcW w:w="4788" w:type="dxa"/>
          </w:tcPr>
          <w:p w:rsidR="004B6701" w:rsidRDefault="004B6701">
            <w:r>
              <w:rPr>
                <w:noProof/>
              </w:rPr>
              <w:drawing>
                <wp:inline distT="0" distB="0" distL="0" distR="0" wp14:anchorId="2CBDE209" wp14:editId="0B952B3F">
                  <wp:extent cx="3175000" cy="2381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inline>
              </w:drawing>
            </w:r>
          </w:p>
        </w:tc>
        <w:tc>
          <w:tcPr>
            <w:tcW w:w="4788" w:type="dxa"/>
          </w:tcPr>
          <w:p w:rsidR="004B6701" w:rsidRDefault="004B6701">
            <w:r>
              <w:rPr>
                <w:noProof/>
              </w:rPr>
              <w:drawing>
                <wp:inline distT="0" distB="0" distL="0" distR="0" wp14:anchorId="74A8B74C" wp14:editId="078CCD48">
                  <wp:extent cx="2806700" cy="2105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9615" cy="2107211"/>
                          </a:xfrm>
                          <a:prstGeom prst="rect">
                            <a:avLst/>
                          </a:prstGeom>
                        </pic:spPr>
                      </pic:pic>
                    </a:graphicData>
                  </a:graphic>
                </wp:inline>
              </w:drawing>
            </w:r>
          </w:p>
        </w:tc>
      </w:tr>
      <w:tr w:rsidR="004B6701" w:rsidTr="004B6701">
        <w:tc>
          <w:tcPr>
            <w:tcW w:w="4788" w:type="dxa"/>
          </w:tcPr>
          <w:p w:rsidR="004B6701" w:rsidRDefault="004B6701">
            <w:r>
              <w:rPr>
                <w:noProof/>
              </w:rPr>
              <w:drawing>
                <wp:inline distT="0" distB="0" distL="0" distR="0">
                  <wp:extent cx="2971800" cy="222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4400" cy="2230800"/>
                          </a:xfrm>
                          <a:prstGeom prst="rect">
                            <a:avLst/>
                          </a:prstGeom>
                        </pic:spPr>
                      </pic:pic>
                    </a:graphicData>
                  </a:graphic>
                </wp:inline>
              </w:drawing>
            </w:r>
          </w:p>
        </w:tc>
        <w:tc>
          <w:tcPr>
            <w:tcW w:w="4788" w:type="dxa"/>
          </w:tcPr>
          <w:p w:rsidR="004B6701" w:rsidRDefault="004B6701">
            <w:r>
              <w:rPr>
                <w:noProof/>
              </w:rPr>
              <w:drawing>
                <wp:inline distT="0" distB="0" distL="0" distR="0">
                  <wp:extent cx="2666999" cy="20002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9547" cy="2002161"/>
                          </a:xfrm>
                          <a:prstGeom prst="rect">
                            <a:avLst/>
                          </a:prstGeom>
                        </pic:spPr>
                      </pic:pic>
                    </a:graphicData>
                  </a:graphic>
                </wp:inline>
              </w:drawing>
            </w:r>
          </w:p>
        </w:tc>
      </w:tr>
    </w:tbl>
    <w:p w:rsidR="004B6701" w:rsidRDefault="004B6701"/>
    <w:sectPr w:rsidR="004B6701">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982" w:rsidRDefault="00FF2982" w:rsidP="00AA17A9">
      <w:pPr>
        <w:spacing w:after="0" w:line="240" w:lineRule="auto"/>
      </w:pPr>
      <w:r>
        <w:separator/>
      </w:r>
    </w:p>
  </w:endnote>
  <w:endnote w:type="continuationSeparator" w:id="0">
    <w:p w:rsidR="00FF2982" w:rsidRDefault="00FF2982" w:rsidP="00AA1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982" w:rsidRDefault="00FF2982" w:rsidP="00AA17A9">
      <w:pPr>
        <w:spacing w:after="0" w:line="240" w:lineRule="auto"/>
      </w:pPr>
      <w:r>
        <w:separator/>
      </w:r>
    </w:p>
  </w:footnote>
  <w:footnote w:type="continuationSeparator" w:id="0">
    <w:p w:rsidR="00FF2982" w:rsidRDefault="00FF2982" w:rsidP="00AA1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619901"/>
      <w:docPartObj>
        <w:docPartGallery w:val="Page Numbers (Top of Page)"/>
        <w:docPartUnique/>
      </w:docPartObj>
    </w:sdtPr>
    <w:sdtEndPr>
      <w:rPr>
        <w:noProof/>
      </w:rPr>
    </w:sdtEndPr>
    <w:sdtContent>
      <w:p w:rsidR="00AA17A9" w:rsidRDefault="00AA17A9">
        <w:pPr>
          <w:pStyle w:val="Header"/>
          <w:jc w:val="right"/>
        </w:pPr>
        <w:r>
          <w:t xml:space="preserve">Vera Krischik UMinnesota, , krisc001@umn.edu, 612.625.7044        </w:t>
        </w:r>
        <w:r>
          <w:fldChar w:fldCharType="begin"/>
        </w:r>
        <w:r>
          <w:instrText xml:space="preserve"> PAGE   \* MERGEFORMAT </w:instrText>
        </w:r>
        <w:r>
          <w:fldChar w:fldCharType="separate"/>
        </w:r>
        <w:r w:rsidR="00491D39">
          <w:rPr>
            <w:noProof/>
          </w:rPr>
          <w:t>4</w:t>
        </w:r>
        <w:r>
          <w:rPr>
            <w:noProof/>
          </w:rPr>
          <w:fldChar w:fldCharType="end"/>
        </w:r>
      </w:p>
    </w:sdtContent>
  </w:sdt>
  <w:p w:rsidR="00AA17A9" w:rsidRDefault="00AA17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E3E53"/>
    <w:multiLevelType w:val="multilevel"/>
    <w:tmpl w:val="5002C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A94A13"/>
    <w:multiLevelType w:val="multilevel"/>
    <w:tmpl w:val="046C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772CF4"/>
    <w:multiLevelType w:val="multilevel"/>
    <w:tmpl w:val="978C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9049EE"/>
    <w:multiLevelType w:val="multilevel"/>
    <w:tmpl w:val="D554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CF1652"/>
    <w:multiLevelType w:val="multilevel"/>
    <w:tmpl w:val="FAEC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497878"/>
    <w:multiLevelType w:val="multilevel"/>
    <w:tmpl w:val="B14C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7668EE"/>
    <w:multiLevelType w:val="multilevel"/>
    <w:tmpl w:val="8064D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9534818"/>
    <w:multiLevelType w:val="multilevel"/>
    <w:tmpl w:val="1F70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1"/>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730"/>
    <w:rsid w:val="000D34BF"/>
    <w:rsid w:val="00295730"/>
    <w:rsid w:val="003507C6"/>
    <w:rsid w:val="00397395"/>
    <w:rsid w:val="00491D39"/>
    <w:rsid w:val="004B6701"/>
    <w:rsid w:val="004E18C3"/>
    <w:rsid w:val="00957755"/>
    <w:rsid w:val="00AA17A9"/>
    <w:rsid w:val="00FF2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730"/>
    <w:rPr>
      <w:rFonts w:ascii="Tahoma" w:hAnsi="Tahoma" w:cs="Tahoma"/>
      <w:sz w:val="16"/>
      <w:szCs w:val="16"/>
    </w:rPr>
  </w:style>
  <w:style w:type="paragraph" w:styleId="Header">
    <w:name w:val="header"/>
    <w:basedOn w:val="Normal"/>
    <w:link w:val="HeaderChar"/>
    <w:uiPriority w:val="99"/>
    <w:unhideWhenUsed/>
    <w:rsid w:val="00AA17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7A9"/>
  </w:style>
  <w:style w:type="paragraph" w:styleId="Footer">
    <w:name w:val="footer"/>
    <w:basedOn w:val="Normal"/>
    <w:link w:val="FooterChar"/>
    <w:uiPriority w:val="99"/>
    <w:unhideWhenUsed/>
    <w:rsid w:val="00AA1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7A9"/>
  </w:style>
  <w:style w:type="table" w:styleId="TableGrid">
    <w:name w:val="Table Grid"/>
    <w:basedOn w:val="TableNormal"/>
    <w:uiPriority w:val="59"/>
    <w:rsid w:val="004B6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730"/>
    <w:rPr>
      <w:rFonts w:ascii="Tahoma" w:hAnsi="Tahoma" w:cs="Tahoma"/>
      <w:sz w:val="16"/>
      <w:szCs w:val="16"/>
    </w:rPr>
  </w:style>
  <w:style w:type="paragraph" w:styleId="Header">
    <w:name w:val="header"/>
    <w:basedOn w:val="Normal"/>
    <w:link w:val="HeaderChar"/>
    <w:uiPriority w:val="99"/>
    <w:unhideWhenUsed/>
    <w:rsid w:val="00AA17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7A9"/>
  </w:style>
  <w:style w:type="paragraph" w:styleId="Footer">
    <w:name w:val="footer"/>
    <w:basedOn w:val="Normal"/>
    <w:link w:val="FooterChar"/>
    <w:uiPriority w:val="99"/>
    <w:unhideWhenUsed/>
    <w:rsid w:val="00AA1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7A9"/>
  </w:style>
  <w:style w:type="table" w:styleId="TableGrid">
    <w:name w:val="Table Grid"/>
    <w:basedOn w:val="TableNormal"/>
    <w:uiPriority w:val="59"/>
    <w:rsid w:val="004B6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865088">
      <w:bodyDiv w:val="1"/>
      <w:marLeft w:val="0"/>
      <w:marRight w:val="0"/>
      <w:marTop w:val="0"/>
      <w:marBottom w:val="0"/>
      <w:divBdr>
        <w:top w:val="none" w:sz="0" w:space="0" w:color="auto"/>
        <w:left w:val="none" w:sz="0" w:space="0" w:color="auto"/>
        <w:bottom w:val="none" w:sz="0" w:space="0" w:color="auto"/>
        <w:right w:val="none" w:sz="0" w:space="0" w:color="auto"/>
      </w:divBdr>
      <w:divsChild>
        <w:div w:id="1655065022">
          <w:marLeft w:val="0"/>
          <w:marRight w:val="0"/>
          <w:marTop w:val="0"/>
          <w:marBottom w:val="0"/>
          <w:divBdr>
            <w:top w:val="none" w:sz="0" w:space="0" w:color="auto"/>
            <w:left w:val="none" w:sz="0" w:space="0" w:color="auto"/>
            <w:bottom w:val="none" w:sz="0" w:space="0" w:color="auto"/>
            <w:right w:val="none" w:sz="0" w:space="0" w:color="auto"/>
          </w:divBdr>
          <w:divsChild>
            <w:div w:id="1237057752">
              <w:marLeft w:val="0"/>
              <w:marRight w:val="0"/>
              <w:marTop w:val="0"/>
              <w:marBottom w:val="0"/>
              <w:divBdr>
                <w:top w:val="none" w:sz="0" w:space="0" w:color="auto"/>
                <w:left w:val="none" w:sz="0" w:space="0" w:color="auto"/>
                <w:bottom w:val="none" w:sz="0" w:space="0" w:color="auto"/>
                <w:right w:val="none" w:sz="0" w:space="0" w:color="auto"/>
              </w:divBdr>
              <w:divsChild>
                <w:div w:id="20978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5222">
          <w:marLeft w:val="0"/>
          <w:marRight w:val="0"/>
          <w:marTop w:val="0"/>
          <w:marBottom w:val="0"/>
          <w:divBdr>
            <w:top w:val="none" w:sz="0" w:space="0" w:color="auto"/>
            <w:left w:val="none" w:sz="0" w:space="0" w:color="auto"/>
            <w:bottom w:val="none" w:sz="0" w:space="0" w:color="auto"/>
            <w:right w:val="none" w:sz="0" w:space="0" w:color="auto"/>
          </w:divBdr>
          <w:divsChild>
            <w:div w:id="137036222">
              <w:marLeft w:val="0"/>
              <w:marRight w:val="0"/>
              <w:marTop w:val="0"/>
              <w:marBottom w:val="0"/>
              <w:divBdr>
                <w:top w:val="none" w:sz="0" w:space="0" w:color="auto"/>
                <w:left w:val="none" w:sz="0" w:space="0" w:color="auto"/>
                <w:bottom w:val="none" w:sz="0" w:space="0" w:color="auto"/>
                <w:right w:val="none" w:sz="0" w:space="0" w:color="auto"/>
              </w:divBdr>
            </w:div>
          </w:divsChild>
        </w:div>
        <w:div w:id="939067277">
          <w:marLeft w:val="0"/>
          <w:marRight w:val="0"/>
          <w:marTop w:val="0"/>
          <w:marBottom w:val="0"/>
          <w:divBdr>
            <w:top w:val="none" w:sz="0" w:space="0" w:color="auto"/>
            <w:left w:val="none" w:sz="0" w:space="0" w:color="auto"/>
            <w:bottom w:val="none" w:sz="0" w:space="0" w:color="auto"/>
            <w:right w:val="none" w:sz="0" w:space="0" w:color="auto"/>
          </w:divBdr>
          <w:divsChild>
            <w:div w:id="1108619729">
              <w:marLeft w:val="0"/>
              <w:marRight w:val="0"/>
              <w:marTop w:val="0"/>
              <w:marBottom w:val="0"/>
              <w:divBdr>
                <w:top w:val="none" w:sz="0" w:space="0" w:color="auto"/>
                <w:left w:val="none" w:sz="0" w:space="0" w:color="auto"/>
                <w:bottom w:val="none" w:sz="0" w:space="0" w:color="auto"/>
                <w:right w:val="none" w:sz="0" w:space="0" w:color="auto"/>
              </w:divBdr>
            </w:div>
          </w:divsChild>
        </w:div>
        <w:div w:id="2088568814">
          <w:marLeft w:val="0"/>
          <w:marRight w:val="0"/>
          <w:marTop w:val="0"/>
          <w:marBottom w:val="0"/>
          <w:divBdr>
            <w:top w:val="none" w:sz="0" w:space="0" w:color="auto"/>
            <w:left w:val="none" w:sz="0" w:space="0" w:color="auto"/>
            <w:bottom w:val="none" w:sz="0" w:space="0" w:color="auto"/>
            <w:right w:val="none" w:sz="0" w:space="0" w:color="auto"/>
          </w:divBdr>
          <w:divsChild>
            <w:div w:id="491288771">
              <w:marLeft w:val="0"/>
              <w:marRight w:val="0"/>
              <w:marTop w:val="0"/>
              <w:marBottom w:val="0"/>
              <w:divBdr>
                <w:top w:val="none" w:sz="0" w:space="0" w:color="auto"/>
                <w:left w:val="none" w:sz="0" w:space="0" w:color="auto"/>
                <w:bottom w:val="none" w:sz="0" w:space="0" w:color="auto"/>
                <w:right w:val="none" w:sz="0" w:space="0" w:color="auto"/>
              </w:divBdr>
              <w:divsChild>
                <w:div w:id="1220507806">
                  <w:marLeft w:val="0"/>
                  <w:marRight w:val="0"/>
                  <w:marTop w:val="0"/>
                  <w:marBottom w:val="0"/>
                  <w:divBdr>
                    <w:top w:val="none" w:sz="0" w:space="0" w:color="auto"/>
                    <w:left w:val="none" w:sz="0" w:space="0" w:color="auto"/>
                    <w:bottom w:val="none" w:sz="0" w:space="0" w:color="auto"/>
                    <w:right w:val="none" w:sz="0" w:space="0" w:color="auto"/>
                  </w:divBdr>
                </w:div>
                <w:div w:id="15245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esticidestewardship.org/PollinatorProtection/Documents/How%20to%20Reduce%20Bee%20Poisoning%20from%20Pesticides_PNW.pdf" TargetMode="External"/><Relationship Id="rId18" Type="http://schemas.openxmlformats.org/officeDocument/2006/relationships/hyperlink" Target="http://extension.entm.purdue.edu/neonicotinoids/PDF/Safetyanduseofneonicotinoidsinturfgrass.pdf"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TIF"/><Relationship Id="rId7" Type="http://schemas.openxmlformats.org/officeDocument/2006/relationships/endnotes" Target="endnotes.xml"/><Relationship Id="rId12" Type="http://schemas.openxmlformats.org/officeDocument/2006/relationships/hyperlink" Target="http://extension.entm.purdue.edu/publications/E-53.pdf" TargetMode="External"/><Relationship Id="rId17" Type="http://schemas.openxmlformats.org/officeDocument/2006/relationships/hyperlink" Target="http://lilab.ecust.edu.cn/ptid/"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item.herts.ac.uk/aeru/ppdb/en/index.htm" TargetMode="External"/><Relationship Id="rId20" Type="http://schemas.openxmlformats.org/officeDocument/2006/relationships/image" Target="media/image3.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2.epa.gov/pollinator-protection/report-bee-kills" TargetMode="External"/><Relationship Id="rId24" Type="http://schemas.openxmlformats.org/officeDocument/2006/relationships/image" Target="media/image7.TIF"/><Relationship Id="rId5" Type="http://schemas.openxmlformats.org/officeDocument/2006/relationships/webSettings" Target="webSettings.xml"/><Relationship Id="rId15" Type="http://schemas.openxmlformats.org/officeDocument/2006/relationships/hyperlink" Target="http://www.farmlandbirds.net/content/acute-toxicity-ld50-values-honey-bees-all-pesticides-fungicides-herbicides-insecticides-etc-" TargetMode="External"/><Relationship Id="rId23" Type="http://schemas.openxmlformats.org/officeDocument/2006/relationships/image" Target="media/image6.TIF"/><Relationship Id="rId10" Type="http://schemas.openxmlformats.org/officeDocument/2006/relationships/hyperlink" Target="http://npic.orst.edu/"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mda.state.mn.us/" TargetMode="External"/><Relationship Id="rId14" Type="http://schemas.openxmlformats.org/officeDocument/2006/relationships/hyperlink" Target="http://pesticidestewardship.org/PollinatorProtection/Pages/Pesticide-Toxicity-to-Bees.aspx" TargetMode="External"/><Relationship Id="rId22" Type="http://schemas.openxmlformats.org/officeDocument/2006/relationships/image" Target="media/image5.T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1738</Words>
  <Characters>9908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Minnesota - TC</Company>
  <LinksUpToDate>false</LinksUpToDate>
  <CharactersWithSpaces>11623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A Krischik</dc:creator>
  <cp:lastModifiedBy>Vera A Krischik</cp:lastModifiedBy>
  <cp:revision>2</cp:revision>
  <dcterms:created xsi:type="dcterms:W3CDTF">2017-05-11T19:55:00Z</dcterms:created>
  <dcterms:modified xsi:type="dcterms:W3CDTF">2017-05-11T19:55:00Z</dcterms:modified>
</cp:coreProperties>
</file>